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黑体" w:eastAsia="黑体" w:cs="ArialUnicodeMS"/>
          <w:kern w:val="0"/>
          <w:sz w:val="52"/>
          <w:szCs w:val="52"/>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委统战部</w:t>
      </w: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柳州市委统战部</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柳州市委统战部</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柳州市委统战部</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柳州市委统战部</w:t>
      </w:r>
      <w:r>
        <w:rPr>
          <w:rFonts w:hint="eastAsia" w:ascii="仿宋_GB2312" w:eastAsia="仿宋_GB2312"/>
          <w:b/>
          <w:sz w:val="32"/>
          <w:szCs w:val="32"/>
          <w:u w:val="none"/>
        </w:rPr>
        <w:t>概况</w:t>
      </w:r>
    </w:p>
    <w:p>
      <w:pPr>
        <w:numPr>
          <w:ilvl w:val="0"/>
          <w:numId w:val="1"/>
        </w:numPr>
        <w:ind w:firstLine="646"/>
        <w:rPr>
          <w:rFonts w:hint="eastAsia" w:ascii="黑体" w:hAnsi="黑体" w:eastAsia="黑体" w:cs="黑体"/>
          <w:sz w:val="32"/>
          <w:szCs w:val="32"/>
        </w:rPr>
      </w:pPr>
      <w:r>
        <w:rPr>
          <w:rFonts w:hint="eastAsia" w:ascii="黑体" w:hAnsi="黑体" w:eastAsia="黑体" w:cs="黑体"/>
          <w:sz w:val="32"/>
          <w:szCs w:val="32"/>
        </w:rPr>
        <w:t>主要职能</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微软雅黑" w:hAnsi="微软雅黑" w:eastAsia="仿宋_GB2312"/>
          <w:sz w:val="32"/>
          <w:szCs w:val="32"/>
          <w:lang w:val="en-US" w:eastAsia="zh-CN"/>
        </w:rPr>
        <w:t xml:space="preserve">   1.</w:t>
      </w:r>
      <w:r>
        <w:rPr>
          <w:rFonts w:hint="eastAsia" w:ascii="仿宋_GB2312" w:hAnsi="微软雅黑" w:eastAsia="仿宋_GB2312"/>
          <w:sz w:val="32"/>
          <w:szCs w:val="32"/>
        </w:rPr>
        <w:t>调查研究统一战线的理论、政策和法律法规；向市委全面反映统一战线情况，提出开展统一战线工作的意见和建议；组织协调统一战线政策和法律法规的贯彻落实，检查执行情况；协调统一战线各方面关系；承担市委统一战线工作领导小组的日常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微软雅黑" w:hAnsi="微软雅黑" w:eastAsia="仿宋_GB2312"/>
          <w:b/>
          <w:sz w:val="32"/>
          <w:szCs w:val="32"/>
        </w:rPr>
        <w:t> </w:t>
      </w:r>
      <w:r>
        <w:rPr>
          <w:rFonts w:hint="eastAsia" w:ascii="仿宋_GB2312" w:hAnsi="微软雅黑" w:eastAsia="仿宋_GB2312"/>
          <w:b/>
          <w:sz w:val="32"/>
          <w:szCs w:val="32"/>
          <w:lang w:val="en-US" w:eastAsia="zh-CN"/>
        </w:rPr>
        <w:t>2.</w:t>
      </w:r>
      <w:r>
        <w:rPr>
          <w:rFonts w:hint="eastAsia" w:ascii="仿宋_GB2312" w:hAnsi="微软雅黑" w:eastAsia="仿宋_GB2312"/>
          <w:sz w:val="32"/>
          <w:szCs w:val="32"/>
        </w:rPr>
        <w:t>负责联系民主党派，牵头协调无党派人士工作，研究贯彻做好民主党派和无党派人士工作的方针政策，支持民主党派和无党派人士履行职责、发挥作用，支持、帮助民主党派和无党派人士加强自身建设。</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仿宋_GB2312" w:hAnsi="微软雅黑" w:eastAsia="仿宋_GB2312"/>
          <w:b/>
          <w:sz w:val="32"/>
          <w:szCs w:val="32"/>
          <w:lang w:val="en-US" w:eastAsia="zh-CN"/>
        </w:rPr>
        <w:t>3.</w:t>
      </w:r>
      <w:r>
        <w:rPr>
          <w:rFonts w:hint="eastAsia" w:ascii="仿宋_GB2312" w:hAnsi="微软雅黑" w:eastAsia="仿宋_GB2312"/>
          <w:sz w:val="32"/>
          <w:szCs w:val="32"/>
        </w:rPr>
        <w:t>调查研究党外知识分子的情况，反映意见，协调关系，提出政策建议，联系党外知识分子代表人士；指导和联系出国和归国留学人员统战工作。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微软雅黑" w:hAnsi="微软雅黑" w:eastAsia="仿宋_GB2312"/>
          <w:sz w:val="32"/>
          <w:szCs w:val="32"/>
          <w:lang w:val="en-US" w:eastAsia="zh-CN"/>
        </w:rPr>
        <w:t>4.</w:t>
      </w:r>
      <w:r>
        <w:rPr>
          <w:rFonts w:hint="eastAsia" w:ascii="仿宋_GB2312" w:hAnsi="微软雅黑" w:eastAsia="仿宋_GB2312"/>
          <w:sz w:val="32"/>
          <w:szCs w:val="32"/>
        </w:rPr>
        <w:t>贯彻落实民族、宗教工作的理论、方针、政策和法律法规，牵头协调检查落实情况，做好重要工作和重大问题的处理，联系少数民族和宗教界的代表人士，根据分工做好少数民族干部工作。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xml:space="preserve">   </w:t>
      </w:r>
      <w:r>
        <w:rPr>
          <w:rFonts w:hint="eastAsia" w:ascii="仿宋_GB2312" w:hAnsi="微软雅黑" w:eastAsia="仿宋_GB2312"/>
          <w:b/>
          <w:sz w:val="32"/>
          <w:szCs w:val="32"/>
          <w:lang w:val="en-US" w:eastAsia="zh-CN"/>
        </w:rPr>
        <w:t>5.</w:t>
      </w:r>
      <w:r>
        <w:rPr>
          <w:rFonts w:hint="eastAsia" w:ascii="仿宋_GB2312" w:hAnsi="微软雅黑" w:eastAsia="仿宋_GB2312"/>
          <w:sz w:val="32"/>
          <w:szCs w:val="32"/>
        </w:rPr>
        <w:t>调查研究全市非公有制经济人士的情况，协调关系，提出政策建议，团结、服务、引导、教育非公有制经济人士，开展思想政治工作；负责引导非公有制经济人士开展光彩事业。</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微软雅黑" w:hAnsi="微软雅黑" w:eastAsia="仿宋_GB2312"/>
          <w:sz w:val="32"/>
          <w:szCs w:val="32"/>
          <w:lang w:val="en-US" w:eastAsia="zh-CN"/>
        </w:rPr>
        <w:t>6.</w:t>
      </w:r>
      <w:r>
        <w:rPr>
          <w:rFonts w:hint="eastAsia" w:ascii="仿宋_GB2312" w:hAnsi="微软雅黑" w:eastAsia="仿宋_GB2312"/>
          <w:sz w:val="32"/>
          <w:szCs w:val="32"/>
        </w:rPr>
        <w:t>开展港澳台海外统一战线工作，联系香港、澳门、台湾和海外有关党派、团体及代表人士，开展海外联谊工作；会同有关部门对香港、澳门地区统一战线工作方针政策和法律法规进行调查研究；做好台胞、台属有关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 xml:space="preserve">    </w:t>
      </w:r>
      <w:r>
        <w:rPr>
          <w:rFonts w:hint="eastAsia" w:ascii="仿宋_GB2312" w:hAnsi="微软雅黑" w:eastAsia="仿宋_GB2312"/>
          <w:b/>
          <w:sz w:val="32"/>
          <w:szCs w:val="32"/>
          <w:lang w:val="en-US" w:eastAsia="zh-CN"/>
        </w:rPr>
        <w:t>7.</w:t>
      </w:r>
      <w:r>
        <w:rPr>
          <w:rFonts w:hint="eastAsia" w:ascii="仿宋_GB2312" w:hAnsi="微软雅黑" w:eastAsia="仿宋_GB2312"/>
          <w:sz w:val="32"/>
          <w:szCs w:val="32"/>
        </w:rPr>
        <w:t>贯彻落实党的侨务工作方针政策和侨务工作决策部署，联系海外有关侨团和代表人士，指导推动涉侨宣传、文化交流、华文教育工作等，保护华侨和归侨侨眷在国内的合法权利和利益，负责华侨回国定居相关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负责党外代表人士在人大、政协安排的有关工作；会同有关部门做好安排党外代表人士担任政府和司法机关等领导职务的工作，做好党外代表人士和后备干部队伍建设工作；协助民主党派市委做好干部管理工作，反映和解决党外代表人士工作生活中的实际困难。</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仿宋_GB2312" w:hAnsi="华文仿宋" w:eastAsia="仿宋_GB2312"/>
          <w:b/>
          <w:bCs w:val="0"/>
          <w:color w:val="000000"/>
          <w:sz w:val="32"/>
          <w:szCs w:val="32"/>
        </w:rPr>
        <w:t xml:space="preserve">     </w:t>
      </w:r>
      <w:r>
        <w:rPr>
          <w:rFonts w:hint="eastAsia" w:ascii="仿宋_GB2312" w:hAnsi="微软雅黑" w:eastAsia="仿宋_GB2312"/>
          <w:b/>
          <w:sz w:val="32"/>
          <w:szCs w:val="32"/>
          <w:lang w:val="en-US" w:eastAsia="zh-CN"/>
        </w:rPr>
        <w:t>9.</w:t>
      </w:r>
      <w:r>
        <w:rPr>
          <w:rFonts w:hint="eastAsia" w:ascii="仿宋_GB2312" w:hAnsi="微软雅黑" w:eastAsia="仿宋_GB2312"/>
          <w:sz w:val="32"/>
          <w:szCs w:val="32"/>
        </w:rPr>
        <w:t>指导下级党委统一战线工作，协助管理下级党委统战部部长，负责下级统战部负责人培训工作；协调政府有关部门统一战线工作，协助做好民族、宗教等工作部门领导班子成员推荐工作；领导市工商联党组，指导市工商联工作；领导市社会主义学院党组，指导市社会主义学院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仿宋_GB2312" w:hAnsi="微软雅黑" w:eastAsia="仿宋_GB2312"/>
          <w:sz w:val="32"/>
          <w:szCs w:val="32"/>
        </w:rPr>
        <w:t xml:space="preserve"> </w:t>
      </w:r>
      <w:r>
        <w:rPr>
          <w:rFonts w:hint="eastAsia" w:ascii="仿宋_GB2312" w:hAnsi="微软雅黑" w:eastAsia="仿宋_GB2312"/>
          <w:b/>
          <w:sz w:val="32"/>
          <w:szCs w:val="32"/>
          <w:lang w:val="en-US" w:eastAsia="zh-CN"/>
        </w:rPr>
        <w:t>10.</w:t>
      </w:r>
      <w:r>
        <w:rPr>
          <w:rFonts w:hint="eastAsia" w:ascii="仿宋_GB2312" w:hAnsi="微软雅黑" w:eastAsia="仿宋_GB2312"/>
          <w:sz w:val="32"/>
          <w:szCs w:val="32"/>
        </w:rPr>
        <w:t>负责开展统一战线宣传工作。</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20" w:lineRule="exact"/>
        <w:textAlignment w:val="auto"/>
        <w:outlineLvl w:val="9"/>
        <w:rPr>
          <w:rFonts w:hint="eastAsia" w:ascii="仿宋_GB2312" w:hAnsi="微软雅黑" w:eastAsia="仿宋_GB2312"/>
          <w:sz w:val="32"/>
          <w:szCs w:val="32"/>
        </w:rPr>
      </w:pPr>
      <w:r>
        <w:rPr>
          <w:rFonts w:hint="eastAsia" w:ascii="微软雅黑" w:hAnsi="微软雅黑" w:eastAsia="仿宋_GB2312"/>
          <w:sz w:val="32"/>
          <w:szCs w:val="32"/>
        </w:rPr>
        <w:t>   </w:t>
      </w:r>
      <w:r>
        <w:rPr>
          <w:rFonts w:hint="eastAsia" w:ascii="微软雅黑" w:hAnsi="微软雅黑" w:eastAsia="仿宋_GB2312"/>
          <w:sz w:val="32"/>
          <w:szCs w:val="32"/>
          <w:lang w:val="en-US" w:eastAsia="zh-CN"/>
        </w:rPr>
        <w:t>11.</w:t>
      </w:r>
      <w:r>
        <w:rPr>
          <w:rFonts w:hint="eastAsia" w:ascii="仿宋_GB2312" w:hAnsi="微软雅黑" w:eastAsia="仿宋_GB2312"/>
          <w:sz w:val="32"/>
          <w:szCs w:val="32"/>
        </w:rPr>
        <w:t>完成市委和自治区党委统战部交办的其他任务。</w:t>
      </w:r>
    </w:p>
    <w:p>
      <w:pPr>
        <w:keepNext w:val="0"/>
        <w:keepLines w:val="0"/>
        <w:pageBreakBefore w:val="0"/>
        <w:numPr>
          <w:ilvl w:val="0"/>
          <w:numId w:val="0"/>
        </w:numPr>
        <w:kinsoku/>
        <w:wordWrap/>
        <w:overflowPunct/>
        <w:topLinePunct w:val="0"/>
        <w:autoSpaceDE/>
        <w:autoSpaceDN/>
        <w:bidi w:val="0"/>
        <w:adjustRightInd/>
        <w:spacing w:line="520" w:lineRule="exact"/>
        <w:textAlignment w:val="auto"/>
        <w:outlineLvl w:val="9"/>
        <w:rPr>
          <w:rFonts w:hint="eastAsia" w:ascii="仿宋_GB2312" w:eastAsia="仿宋_GB2312"/>
          <w:sz w:val="32"/>
          <w:szCs w:val="32"/>
        </w:rPr>
      </w:pPr>
    </w:p>
    <w:p>
      <w:pPr>
        <w:ind w:firstLine="646"/>
        <w:rPr>
          <w:rFonts w:hint="eastAsia" w:ascii="仿宋_GB2312" w:eastAsia="仿宋_GB2312"/>
          <w:sz w:val="32"/>
          <w:szCs w:val="32"/>
        </w:rPr>
      </w:pPr>
      <w:r>
        <w:rPr>
          <w:rFonts w:hint="eastAsia" w:ascii="黑体" w:hAnsi="黑体" w:eastAsia="黑体" w:cs="黑体"/>
          <w:sz w:val="32"/>
          <w:szCs w:val="32"/>
        </w:rPr>
        <w:t>二、部门决算单位构成</w:t>
      </w:r>
    </w:p>
    <w:p>
      <w:pPr>
        <w:ind w:firstLine="645"/>
        <w:jc w:val="center"/>
        <w:rPr>
          <w:rFonts w:hint="eastAsia" w:ascii="仿宋_GB2312" w:eastAsia="仿宋_GB2312"/>
          <w:sz w:val="32"/>
          <w:szCs w:val="32"/>
        </w:rPr>
      </w:pPr>
      <w:r>
        <w:rPr>
          <w:rFonts w:hint="eastAsia" w:ascii="仿宋_GB2312" w:eastAsia="仿宋_GB2312"/>
          <w:sz w:val="32"/>
          <w:szCs w:val="32"/>
        </w:rPr>
        <w:t>部门机构设置</w:t>
      </w: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23"/>
        <w:gridCol w:w="1823"/>
        <w:gridCol w:w="1823"/>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top"/>
          </w:tcPr>
          <w:p>
            <w:pPr>
              <w:jc w:val="center"/>
              <w:rPr>
                <w:rFonts w:hint="eastAsia" w:ascii="仿宋_GB2312" w:eastAsia="仿宋_GB2312"/>
                <w:sz w:val="32"/>
                <w:szCs w:val="32"/>
              </w:rPr>
            </w:pPr>
            <w:r>
              <w:rPr>
                <w:rFonts w:hint="eastAsia" w:ascii="仿宋_GB2312" w:eastAsia="仿宋_GB2312"/>
                <w:sz w:val="32"/>
                <w:szCs w:val="32"/>
              </w:rPr>
              <w:t>单位名称</w:t>
            </w:r>
          </w:p>
        </w:tc>
        <w:tc>
          <w:tcPr>
            <w:tcW w:w="1823" w:type="dxa"/>
            <w:vAlign w:val="top"/>
          </w:tcPr>
          <w:p>
            <w:pPr>
              <w:jc w:val="center"/>
              <w:rPr>
                <w:rFonts w:hint="eastAsia" w:ascii="仿宋_GB2312" w:eastAsia="仿宋_GB2312"/>
                <w:sz w:val="32"/>
                <w:szCs w:val="32"/>
              </w:rPr>
            </w:pPr>
            <w:r>
              <w:rPr>
                <w:rFonts w:hint="eastAsia" w:ascii="仿宋_GB2312" w:eastAsia="仿宋_GB2312"/>
                <w:sz w:val="32"/>
                <w:szCs w:val="32"/>
              </w:rPr>
              <w:t>单位性质</w:t>
            </w:r>
          </w:p>
        </w:tc>
        <w:tc>
          <w:tcPr>
            <w:tcW w:w="1823" w:type="dxa"/>
            <w:vAlign w:val="top"/>
          </w:tcPr>
          <w:p>
            <w:pPr>
              <w:jc w:val="center"/>
              <w:rPr>
                <w:rFonts w:hint="eastAsia" w:ascii="仿宋_GB2312" w:eastAsia="仿宋_GB2312"/>
                <w:sz w:val="32"/>
                <w:szCs w:val="32"/>
              </w:rPr>
            </w:pPr>
            <w:r>
              <w:rPr>
                <w:rFonts w:hint="eastAsia" w:ascii="仿宋_GB2312" w:eastAsia="仿宋_GB2312"/>
                <w:sz w:val="32"/>
                <w:szCs w:val="32"/>
              </w:rPr>
              <w:t>编制数</w:t>
            </w:r>
          </w:p>
        </w:tc>
        <w:tc>
          <w:tcPr>
            <w:tcW w:w="1823" w:type="dxa"/>
            <w:vAlign w:val="top"/>
          </w:tcPr>
          <w:p>
            <w:pPr>
              <w:jc w:val="center"/>
              <w:rPr>
                <w:rFonts w:hint="eastAsia" w:ascii="仿宋_GB2312" w:eastAsia="仿宋_GB2312"/>
                <w:sz w:val="32"/>
                <w:szCs w:val="32"/>
              </w:rPr>
            </w:pPr>
            <w:r>
              <w:rPr>
                <w:rFonts w:hint="eastAsia" w:ascii="仿宋_GB2312" w:eastAsia="仿宋_GB2312"/>
                <w:sz w:val="32"/>
                <w:szCs w:val="32"/>
              </w:rPr>
              <w:t>实有人数</w:t>
            </w:r>
          </w:p>
        </w:tc>
        <w:tc>
          <w:tcPr>
            <w:tcW w:w="1823" w:type="dxa"/>
            <w:vAlign w:val="top"/>
          </w:tcPr>
          <w:p>
            <w:pPr>
              <w:jc w:val="center"/>
              <w:rPr>
                <w:rFonts w:hint="eastAsia" w:ascii="仿宋_GB2312" w:eastAsia="仿宋_GB2312"/>
                <w:sz w:val="32"/>
                <w:szCs w:val="32"/>
              </w:rPr>
            </w:pPr>
            <w:r>
              <w:rPr>
                <w:rFonts w:hint="eastAsia" w:ascii="仿宋_GB2312" w:eastAsia="仿宋_GB2312"/>
                <w:sz w:val="32"/>
                <w:szCs w:val="32"/>
              </w:rPr>
              <w:t>离退休人数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shd w:val="clear" w:color="auto" w:fill="auto"/>
            <w:vAlign w:val="top"/>
          </w:tcPr>
          <w:p>
            <w:pPr>
              <w:jc w:val="center"/>
              <w:rPr>
                <w:rFonts w:hint="eastAsia" w:ascii="仿宋_GB2312" w:eastAsia="仿宋_GB2312"/>
                <w:sz w:val="32"/>
                <w:szCs w:val="32"/>
              </w:rPr>
            </w:pPr>
            <w:r>
              <w:rPr>
                <w:rFonts w:hint="eastAsia" w:ascii="仿宋_GB2312" w:eastAsia="仿宋_GB2312"/>
                <w:sz w:val="28"/>
                <w:szCs w:val="28"/>
              </w:rPr>
              <w:t>市委统战部</w:t>
            </w:r>
          </w:p>
        </w:tc>
        <w:tc>
          <w:tcPr>
            <w:tcW w:w="1823" w:type="dxa"/>
            <w:shd w:val="clear" w:color="auto" w:fill="auto"/>
            <w:vAlign w:val="top"/>
          </w:tcPr>
          <w:p>
            <w:pPr>
              <w:jc w:val="center"/>
              <w:rPr>
                <w:rFonts w:hint="eastAsia" w:ascii="仿宋_GB2312" w:eastAsia="仿宋_GB2312"/>
                <w:sz w:val="32"/>
                <w:szCs w:val="32"/>
              </w:rPr>
            </w:pPr>
            <w:r>
              <w:rPr>
                <w:rFonts w:hint="eastAsia" w:ascii="仿宋_GB2312" w:eastAsia="仿宋_GB2312"/>
                <w:sz w:val="28"/>
                <w:szCs w:val="28"/>
              </w:rPr>
              <w:t>党政群机关</w:t>
            </w:r>
          </w:p>
        </w:tc>
        <w:tc>
          <w:tcPr>
            <w:tcW w:w="1823" w:type="dxa"/>
            <w:vMerge w:val="restart"/>
            <w:shd w:val="clear" w:color="auto" w:fill="auto"/>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27</w:t>
            </w:r>
          </w:p>
        </w:tc>
        <w:tc>
          <w:tcPr>
            <w:tcW w:w="1823" w:type="dxa"/>
            <w:vMerge w:val="restart"/>
            <w:shd w:val="clear" w:color="auto" w:fill="auto"/>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26</w:t>
            </w:r>
          </w:p>
        </w:tc>
        <w:tc>
          <w:tcPr>
            <w:tcW w:w="1823" w:type="dxa"/>
            <w:vMerge w:val="restart"/>
            <w:shd w:val="clear" w:color="auto" w:fill="auto"/>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shd w:val="clear" w:color="auto" w:fill="auto"/>
            <w:vAlign w:val="top"/>
          </w:tcPr>
          <w:p>
            <w:pPr>
              <w:jc w:val="center"/>
              <w:rPr>
                <w:rFonts w:hint="eastAsia" w:ascii="仿宋_GB2312" w:eastAsia="仿宋_GB2312"/>
                <w:sz w:val="28"/>
                <w:szCs w:val="28"/>
              </w:rPr>
            </w:pPr>
            <w:r>
              <w:rPr>
                <w:rFonts w:hint="eastAsia" w:ascii="仿宋_GB2312" w:eastAsia="仿宋_GB2312"/>
                <w:sz w:val="28"/>
                <w:szCs w:val="28"/>
              </w:rPr>
              <w:t>市台办</w:t>
            </w:r>
          </w:p>
        </w:tc>
        <w:tc>
          <w:tcPr>
            <w:tcW w:w="1823" w:type="dxa"/>
            <w:shd w:val="clear" w:color="auto" w:fill="auto"/>
            <w:vAlign w:val="top"/>
          </w:tcPr>
          <w:p>
            <w:pPr>
              <w:jc w:val="center"/>
              <w:rPr>
                <w:rFonts w:hint="eastAsia" w:ascii="仿宋_GB2312" w:eastAsia="仿宋_GB2312"/>
                <w:sz w:val="28"/>
                <w:szCs w:val="28"/>
              </w:rPr>
            </w:pPr>
            <w:r>
              <w:rPr>
                <w:rFonts w:hint="eastAsia" w:ascii="仿宋_GB2312" w:eastAsia="仿宋_GB2312"/>
                <w:sz w:val="28"/>
                <w:szCs w:val="28"/>
              </w:rPr>
              <w:t>党政群机关</w:t>
            </w:r>
          </w:p>
        </w:tc>
        <w:tc>
          <w:tcPr>
            <w:tcW w:w="1823" w:type="dxa"/>
            <w:vMerge w:val="continue"/>
            <w:shd w:val="clear" w:color="auto" w:fill="auto"/>
            <w:vAlign w:val="top"/>
          </w:tcPr>
          <w:p>
            <w:pPr>
              <w:jc w:val="center"/>
              <w:rPr>
                <w:rFonts w:hint="eastAsia" w:ascii="仿宋_GB2312" w:eastAsia="仿宋_GB2312"/>
                <w:sz w:val="32"/>
                <w:szCs w:val="32"/>
              </w:rPr>
            </w:pPr>
          </w:p>
        </w:tc>
        <w:tc>
          <w:tcPr>
            <w:tcW w:w="1823" w:type="dxa"/>
            <w:vMerge w:val="continue"/>
            <w:shd w:val="clear" w:color="auto" w:fill="auto"/>
            <w:vAlign w:val="top"/>
          </w:tcPr>
          <w:p>
            <w:pPr>
              <w:jc w:val="center"/>
              <w:rPr>
                <w:rFonts w:hint="eastAsia" w:ascii="仿宋_GB2312" w:eastAsia="仿宋_GB2312"/>
                <w:sz w:val="32"/>
                <w:szCs w:val="32"/>
              </w:rPr>
            </w:pPr>
          </w:p>
        </w:tc>
        <w:tc>
          <w:tcPr>
            <w:tcW w:w="1823" w:type="dxa"/>
            <w:vMerge w:val="continue"/>
            <w:shd w:val="clear" w:color="auto" w:fill="auto"/>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shd w:val="clear" w:color="auto" w:fill="auto"/>
            <w:vAlign w:val="top"/>
          </w:tcPr>
          <w:p>
            <w:pPr>
              <w:jc w:val="center"/>
              <w:rPr>
                <w:rFonts w:hint="eastAsia" w:ascii="仿宋_GB2312" w:eastAsia="仿宋_GB2312"/>
                <w:sz w:val="28"/>
                <w:szCs w:val="28"/>
              </w:rPr>
            </w:pPr>
            <w:r>
              <w:rPr>
                <w:rFonts w:hint="eastAsia" w:ascii="仿宋_GB2312" w:eastAsia="仿宋_GB2312"/>
                <w:sz w:val="28"/>
                <w:szCs w:val="28"/>
              </w:rPr>
              <w:t>市台联</w:t>
            </w:r>
          </w:p>
        </w:tc>
        <w:tc>
          <w:tcPr>
            <w:tcW w:w="1823" w:type="dxa"/>
            <w:shd w:val="clear" w:color="auto" w:fill="auto"/>
            <w:vAlign w:val="top"/>
          </w:tcPr>
          <w:p>
            <w:pPr>
              <w:jc w:val="center"/>
              <w:rPr>
                <w:rFonts w:hint="eastAsia" w:ascii="仿宋_GB2312" w:eastAsia="仿宋_GB2312"/>
                <w:sz w:val="28"/>
                <w:szCs w:val="28"/>
              </w:rPr>
            </w:pPr>
            <w:r>
              <w:rPr>
                <w:rFonts w:hint="eastAsia" w:ascii="仿宋_GB2312" w:eastAsia="仿宋_GB2312"/>
                <w:sz w:val="28"/>
                <w:szCs w:val="28"/>
              </w:rPr>
              <w:t>党政群机关</w:t>
            </w:r>
          </w:p>
        </w:tc>
        <w:tc>
          <w:tcPr>
            <w:tcW w:w="1823" w:type="dxa"/>
            <w:shd w:val="clear" w:color="auto" w:fill="auto"/>
            <w:vAlign w:val="top"/>
          </w:tcPr>
          <w:p>
            <w:pPr>
              <w:jc w:val="center"/>
              <w:rPr>
                <w:rFonts w:hint="eastAsia" w:ascii="仿宋_GB2312" w:eastAsia="仿宋_GB2312"/>
                <w:sz w:val="32"/>
                <w:szCs w:val="32"/>
              </w:rPr>
            </w:pPr>
            <w:r>
              <w:rPr>
                <w:rFonts w:hint="eastAsia" w:ascii="仿宋_GB2312" w:eastAsia="仿宋_GB2312"/>
                <w:sz w:val="32"/>
                <w:szCs w:val="32"/>
              </w:rPr>
              <w:t>2</w:t>
            </w:r>
          </w:p>
        </w:tc>
        <w:tc>
          <w:tcPr>
            <w:tcW w:w="1823" w:type="dxa"/>
            <w:shd w:val="clear" w:color="auto" w:fill="auto"/>
            <w:vAlign w:val="top"/>
          </w:tcPr>
          <w:p>
            <w:pPr>
              <w:jc w:val="center"/>
              <w:rPr>
                <w:rFonts w:hint="eastAsia" w:ascii="仿宋_GB2312" w:eastAsia="仿宋_GB2312"/>
                <w:sz w:val="32"/>
                <w:szCs w:val="32"/>
              </w:rPr>
            </w:pPr>
            <w:r>
              <w:rPr>
                <w:rFonts w:hint="eastAsia" w:ascii="仿宋_GB2312" w:eastAsia="仿宋_GB2312"/>
                <w:sz w:val="32"/>
                <w:szCs w:val="32"/>
              </w:rPr>
              <w:t>2</w:t>
            </w:r>
          </w:p>
        </w:tc>
        <w:tc>
          <w:tcPr>
            <w:tcW w:w="1823" w:type="dxa"/>
            <w:shd w:val="clear" w:color="auto" w:fill="auto"/>
            <w:vAlign w:val="top"/>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shd w:val="clear" w:color="auto" w:fill="auto"/>
            <w:vAlign w:val="top"/>
          </w:tcPr>
          <w:p>
            <w:pPr>
              <w:spacing w:line="400" w:lineRule="exact"/>
              <w:jc w:val="center"/>
              <w:rPr>
                <w:rFonts w:hint="eastAsia" w:ascii="仿宋_GB2312" w:eastAsia="仿宋_GB2312"/>
                <w:sz w:val="32"/>
                <w:szCs w:val="32"/>
              </w:rPr>
            </w:pPr>
            <w:r>
              <w:rPr>
                <w:rFonts w:hint="eastAsia" w:ascii="仿宋_GB2312" w:eastAsia="仿宋_GB2312"/>
                <w:sz w:val="28"/>
                <w:szCs w:val="28"/>
              </w:rPr>
              <w:t>市非公经济服务中心</w:t>
            </w:r>
          </w:p>
        </w:tc>
        <w:tc>
          <w:tcPr>
            <w:tcW w:w="1823" w:type="dxa"/>
            <w:shd w:val="clear" w:color="auto" w:fill="auto"/>
            <w:vAlign w:val="top"/>
          </w:tcPr>
          <w:p>
            <w:pPr>
              <w:spacing w:line="400" w:lineRule="exact"/>
              <w:jc w:val="both"/>
              <w:rPr>
                <w:rFonts w:hint="eastAsia" w:ascii="仿宋_GB2312" w:eastAsia="仿宋_GB2312"/>
                <w:sz w:val="32"/>
                <w:szCs w:val="32"/>
              </w:rPr>
            </w:pPr>
            <w:r>
              <w:rPr>
                <w:rFonts w:hint="eastAsia" w:ascii="仿宋_GB2312" w:eastAsia="仿宋_GB2312"/>
                <w:sz w:val="28"/>
                <w:szCs w:val="28"/>
              </w:rPr>
              <w:t>全额拨款事业单位</w:t>
            </w:r>
          </w:p>
        </w:tc>
        <w:tc>
          <w:tcPr>
            <w:tcW w:w="1823" w:type="dxa"/>
            <w:shd w:val="clear" w:color="auto" w:fill="auto"/>
            <w:vAlign w:val="top"/>
          </w:tcPr>
          <w:p>
            <w:pPr>
              <w:jc w:val="center"/>
              <w:rPr>
                <w:rFonts w:hint="eastAsia" w:ascii="仿宋_GB2312" w:eastAsia="仿宋_GB2312"/>
                <w:sz w:val="32"/>
                <w:szCs w:val="32"/>
              </w:rPr>
            </w:pPr>
            <w:r>
              <w:rPr>
                <w:rFonts w:hint="eastAsia" w:ascii="仿宋_GB2312" w:eastAsia="仿宋_GB2312"/>
                <w:sz w:val="32"/>
                <w:szCs w:val="32"/>
              </w:rPr>
              <w:t>6</w:t>
            </w:r>
          </w:p>
        </w:tc>
        <w:tc>
          <w:tcPr>
            <w:tcW w:w="1823" w:type="dxa"/>
            <w:shd w:val="clear" w:color="auto" w:fill="auto"/>
            <w:vAlign w:val="top"/>
          </w:tcPr>
          <w:p>
            <w:pPr>
              <w:jc w:val="center"/>
              <w:rPr>
                <w:rFonts w:hint="eastAsia" w:ascii="仿宋_GB2312" w:eastAsia="仿宋_GB2312"/>
                <w:sz w:val="32"/>
                <w:szCs w:val="32"/>
              </w:rPr>
            </w:pPr>
            <w:r>
              <w:rPr>
                <w:rFonts w:hint="eastAsia" w:ascii="仿宋_GB2312" w:eastAsia="仿宋_GB2312"/>
                <w:sz w:val="32"/>
                <w:szCs w:val="32"/>
              </w:rPr>
              <w:t>5</w:t>
            </w:r>
          </w:p>
        </w:tc>
        <w:tc>
          <w:tcPr>
            <w:tcW w:w="1823" w:type="dxa"/>
            <w:shd w:val="clear" w:color="auto" w:fill="auto"/>
            <w:vAlign w:val="top"/>
          </w:tcPr>
          <w:p>
            <w:pPr>
              <w:jc w:val="center"/>
              <w:rPr>
                <w:rFonts w:hint="eastAsia" w:ascii="仿宋_GB2312" w:eastAsia="仿宋_GB2312"/>
                <w:sz w:val="32"/>
                <w:szCs w:val="32"/>
              </w:rPr>
            </w:pPr>
            <w:r>
              <w:rPr>
                <w:rFonts w:hint="eastAsia" w:ascii="仿宋_GB2312" w:eastAsia="仿宋_GB2312"/>
                <w:sz w:val="32"/>
                <w:szCs w:val="32"/>
              </w:rPr>
              <w:t>0</w:t>
            </w:r>
          </w:p>
        </w:tc>
      </w:tr>
    </w:tbl>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柳州市委统战部</w:t>
      </w:r>
      <w:r>
        <w:rPr>
          <w:rFonts w:hint="eastAsia" w:ascii="仿宋_GB2312" w:eastAsia="仿宋_GB2312"/>
          <w:b/>
          <w:sz w:val="32"/>
          <w:szCs w:val="32"/>
          <w:u w:val="none"/>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rPr>
          <w:rFonts w:hint="eastAsia"/>
        </w:rPr>
      </w:pPr>
    </w:p>
    <w:tbl>
      <w:tblPr>
        <w:tblStyle w:val="7"/>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1418.32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983.18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八、社会保障与就业支出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96.64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66.93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45.97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val="en-US" w:eastAsia="zh-CN"/>
              </w:rPr>
            </w:pP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lang w:val="en-US" w:eastAsia="zh-CN"/>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color w:val="000000"/>
                <w:kern w:val="0"/>
                <w:sz w:val="22"/>
                <w:szCs w:val="22"/>
                <w:lang w:val="en-US" w:eastAsia="zh-CN"/>
              </w:rPr>
              <w:t>1418.32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color w:val="000000"/>
                <w:kern w:val="0"/>
                <w:sz w:val="22"/>
                <w:szCs w:val="22"/>
                <w:lang w:val="en-US" w:eastAsia="zh-CN"/>
              </w:rPr>
              <w:t>1192.72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129.78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355.38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color w:val="000000"/>
                <w:kern w:val="0"/>
                <w:sz w:val="22"/>
                <w:szCs w:val="22"/>
                <w:lang w:val="en-US" w:eastAsia="zh-CN"/>
              </w:rPr>
              <w:t>1548.10</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color w:val="000000"/>
                <w:kern w:val="0"/>
                <w:sz w:val="22"/>
                <w:szCs w:val="22"/>
                <w:lang w:val="en-US" w:eastAsia="zh-CN"/>
              </w:rPr>
              <w:t>1548.10</w:t>
            </w:r>
          </w:p>
        </w:tc>
      </w:tr>
    </w:tbl>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7"/>
        <w:tblW w:w="14884" w:type="dxa"/>
        <w:jc w:val="center"/>
        <w:tblInd w:w="-470" w:type="dxa"/>
        <w:tblLayout w:type="fixed"/>
        <w:tblCellMar>
          <w:top w:w="0" w:type="dxa"/>
          <w:left w:w="108" w:type="dxa"/>
          <w:bottom w:w="0" w:type="dxa"/>
          <w:right w:w="108" w:type="dxa"/>
        </w:tblCellMar>
      </w:tblPr>
      <w:tblGrid>
        <w:gridCol w:w="1194"/>
        <w:gridCol w:w="3535"/>
        <w:gridCol w:w="1540"/>
        <w:gridCol w:w="1540"/>
        <w:gridCol w:w="1540"/>
        <w:gridCol w:w="1324"/>
        <w:gridCol w:w="1209"/>
        <w:gridCol w:w="1540"/>
        <w:gridCol w:w="1462"/>
      </w:tblGrid>
      <w:tr>
        <w:tblPrEx>
          <w:tblLayout w:type="fixed"/>
          <w:tblCellMar>
            <w:top w:w="0" w:type="dxa"/>
            <w:left w:w="108" w:type="dxa"/>
            <w:bottom w:w="0" w:type="dxa"/>
            <w:right w:w="108" w:type="dxa"/>
          </w:tblCellMar>
        </w:tblPrEx>
        <w:trPr>
          <w:trHeight w:val="288" w:hRule="atLeast"/>
          <w:jc w:val="center"/>
        </w:trPr>
        <w:tc>
          <w:tcPr>
            <w:tcW w:w="4729"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4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科目编码</w:t>
            </w:r>
          </w:p>
        </w:tc>
        <w:tc>
          <w:tcPr>
            <w:tcW w:w="353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72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32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09"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46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类/款/项</w:t>
            </w:r>
          </w:p>
        </w:tc>
        <w:tc>
          <w:tcPr>
            <w:tcW w:w="353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1418.32</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1418.32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rPr>
              <w:t>201</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1208.90</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1208.90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lang w:val="en-US"/>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20113</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商贸事务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lang w:val="en-US"/>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2011308</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招商引资</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20125</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港澳台侨事务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116.77</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116.77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2012501</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行政运行</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2012505</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台湾事务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90.51</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90.51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统战事务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1065.69</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1065.69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2013401</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行政运行</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396.79</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396.79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2013402</w:t>
            </w:r>
          </w:p>
        </w:tc>
        <w:tc>
          <w:tcPr>
            <w:tcW w:w="3535"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一般行政管理事务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269.62</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269.62</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2013405</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华侨事务</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82.75</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82.75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2013450</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事业运行</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65.18</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65.18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2013499</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其他统战事务支出</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251.36</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251.36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96.64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96.64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2080501</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归口管理的行政单位离退休</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32.66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32.66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2080505</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63.97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63.97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67.01</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67.01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67.01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67.01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2101101</w:t>
            </w:r>
          </w:p>
        </w:tc>
        <w:tc>
          <w:tcPr>
            <w:tcW w:w="3535"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行政单位医疗</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24.86</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24.86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2101102</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事业单位医疗</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2.4</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公务员医疗补助</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39.76</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住房保障支出</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45.76</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45.76</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9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p>
        </w:tc>
        <w:tc>
          <w:tcPr>
            <w:tcW w:w="3535"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45.76</w:t>
            </w:r>
          </w:p>
        </w:tc>
        <w:tc>
          <w:tcPr>
            <w:tcW w:w="154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45.76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24"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209"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62"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bl>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7"/>
        <w:tblW w:w="15901" w:type="dxa"/>
        <w:jc w:val="center"/>
        <w:tblInd w:w="0" w:type="dxa"/>
        <w:tblLayout w:type="fixed"/>
        <w:tblCellMar>
          <w:top w:w="0" w:type="dxa"/>
          <w:left w:w="108" w:type="dxa"/>
          <w:bottom w:w="0" w:type="dxa"/>
          <w:right w:w="108" w:type="dxa"/>
        </w:tblCellMar>
      </w:tblPr>
      <w:tblGrid>
        <w:gridCol w:w="1180"/>
        <w:gridCol w:w="3664"/>
        <w:gridCol w:w="1985"/>
        <w:gridCol w:w="1842"/>
        <w:gridCol w:w="1701"/>
        <w:gridCol w:w="1701"/>
        <w:gridCol w:w="1499"/>
        <w:gridCol w:w="2329"/>
      </w:tblGrid>
      <w:tr>
        <w:tblPrEx>
          <w:tblLayout w:type="fixed"/>
          <w:tblCellMar>
            <w:top w:w="0" w:type="dxa"/>
            <w:left w:w="108" w:type="dxa"/>
            <w:bottom w:w="0" w:type="dxa"/>
            <w:right w:w="108" w:type="dxa"/>
          </w:tblCellMar>
        </w:tblPrEx>
        <w:trPr>
          <w:trHeight w:val="288" w:hRule="atLeast"/>
          <w:jc w:val="center"/>
        </w:trPr>
        <w:tc>
          <w:tcPr>
            <w:tcW w:w="48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23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科目编码</w:t>
            </w:r>
          </w:p>
        </w:tc>
        <w:tc>
          <w:tcPr>
            <w:tcW w:w="366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844"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499"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kern w:val="0"/>
                <w:sz w:val="22"/>
                <w:szCs w:val="22"/>
              </w:rPr>
              <w:t>5</w:t>
            </w:r>
          </w:p>
        </w:tc>
        <w:tc>
          <w:tcPr>
            <w:tcW w:w="2329"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类/款/项</w:t>
            </w:r>
          </w:p>
        </w:tc>
        <w:tc>
          <w:tcPr>
            <w:tcW w:w="366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合计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1192.72</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692.79</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499.93</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一般公共服务支出</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983.18</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483.25</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499.93</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20113</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商贸事务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2011308</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招商引资</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26.44</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20125</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港澳台侨事务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65.98</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39.72</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2012501</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行政运行</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26.26</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2012505</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台湾事务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39.72</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39.72</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20134</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统战事务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890.76</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456.99</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433.77</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2013401</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行政运行</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389.58</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389.58</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90"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2013402</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一般行政管理事务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331.46</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331.46</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2013405</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华侨事务</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85.94</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85.94</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2013450</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事业运行</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67.41</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67.41</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2013499</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其他统战事务支出</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16.37</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16.37</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90"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208</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20805</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2080501</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归口管理的行政单位离退休</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32.66</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32.66</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2080505</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63.97</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63.97</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210</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66.93</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66.93</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21011</w:t>
            </w:r>
          </w:p>
        </w:tc>
        <w:tc>
          <w:tcPr>
            <w:tcW w:w="366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66.93</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66.93</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2101101</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行政单位医疗</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24.88</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24.88</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2101102</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事业单位医疗</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2.29</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2.29</w:t>
            </w:r>
          </w:p>
        </w:tc>
        <w:tc>
          <w:tcPr>
            <w:tcW w:w="1701"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390"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2101103</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39.76</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39.76</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221</w:t>
            </w:r>
          </w:p>
        </w:tc>
        <w:tc>
          <w:tcPr>
            <w:tcW w:w="3664"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45.97</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45.97</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hint="eastAsia" w:ascii="宋体" w:hAnsi="宋体" w:cs="Arial"/>
                <w:color w:val="000000"/>
                <w:kern w:val="0"/>
                <w:sz w:val="22"/>
                <w:szCs w:val="22"/>
              </w:rPr>
            </w:pPr>
            <w:r>
              <w:rPr>
                <w:rFonts w:hint="eastAsia" w:ascii="宋体" w:hAnsi="宋体" w:cs="Arial"/>
                <w:color w:val="000000"/>
                <w:kern w:val="0"/>
                <w:sz w:val="22"/>
                <w:szCs w:val="22"/>
              </w:rPr>
              <w:t>22102</w:t>
            </w:r>
          </w:p>
        </w:tc>
        <w:tc>
          <w:tcPr>
            <w:tcW w:w="3664" w:type="dxa"/>
            <w:tcBorders>
              <w:top w:val="nil"/>
              <w:left w:val="nil"/>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198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45.97</w:t>
            </w:r>
          </w:p>
        </w:tc>
        <w:tc>
          <w:tcPr>
            <w:tcW w:w="1842"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45.97</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hint="eastAsia"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2210201</w:t>
            </w:r>
          </w:p>
        </w:tc>
        <w:tc>
          <w:tcPr>
            <w:tcW w:w="3664"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985"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45.97</w:t>
            </w:r>
          </w:p>
        </w:tc>
        <w:tc>
          <w:tcPr>
            <w:tcW w:w="1842"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45.97</w:t>
            </w:r>
          </w:p>
        </w:tc>
        <w:tc>
          <w:tcPr>
            <w:tcW w:w="1701"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701"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1499" w:type="dxa"/>
            <w:tcBorders>
              <w:top w:val="nil"/>
              <w:left w:val="nil"/>
              <w:bottom w:val="single" w:color="auto" w:sz="4" w:space="0"/>
              <w:right w:val="single" w:color="auto" w:sz="4" w:space="0"/>
            </w:tcBorders>
            <w:vAlign w:val="center"/>
          </w:tcPr>
          <w:p>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c>
          <w:tcPr>
            <w:tcW w:w="2329" w:type="dxa"/>
            <w:tcBorders>
              <w:top w:val="nil"/>
              <w:left w:val="nil"/>
              <w:bottom w:val="single" w:color="auto" w:sz="4" w:space="0"/>
              <w:right w:val="single" w:color="auto" w:sz="4" w:space="0"/>
            </w:tcBorders>
            <w:vAlign w:val="center"/>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0.00</w:t>
            </w:r>
          </w:p>
        </w:tc>
      </w:tr>
    </w:tbl>
    <w:p>
      <w:pPr>
        <w:jc w:val="center"/>
        <w:rPr>
          <w:rFonts w:hint="eastAsia"/>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7"/>
        <w:tblW w:w="13765" w:type="dxa"/>
        <w:jc w:val="center"/>
        <w:tblInd w:w="0" w:type="dxa"/>
        <w:tblLayout w:type="fixed"/>
        <w:tblCellMar>
          <w:top w:w="0" w:type="dxa"/>
          <w:left w:w="108" w:type="dxa"/>
          <w:bottom w:w="0" w:type="dxa"/>
          <w:right w:w="108" w:type="dxa"/>
        </w:tblCellMar>
      </w:tblPr>
      <w:tblGrid>
        <w:gridCol w:w="4314"/>
        <w:gridCol w:w="630"/>
        <w:gridCol w:w="1260"/>
        <w:gridCol w:w="3148"/>
        <w:gridCol w:w="681"/>
        <w:gridCol w:w="1267"/>
        <w:gridCol w:w="1149"/>
        <w:gridCol w:w="1316"/>
      </w:tblGrid>
      <w:tr>
        <w:tblPrEx>
          <w:tblLayout w:type="fixed"/>
          <w:tblCellMar>
            <w:top w:w="0" w:type="dxa"/>
            <w:left w:w="108" w:type="dxa"/>
            <w:bottom w:w="0" w:type="dxa"/>
            <w:right w:w="108" w:type="dxa"/>
          </w:tblCellMar>
        </w:tblPrEx>
        <w:trPr>
          <w:trHeight w:val="300" w:hRule="atLeast"/>
          <w:jc w:val="center"/>
        </w:trPr>
        <w:tc>
          <w:tcPr>
            <w:tcW w:w="6204"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jc w:val="center"/>
        </w:trPr>
        <w:tc>
          <w:tcPr>
            <w:tcW w:w="431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1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6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48"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1418.32</w:t>
            </w: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983.18</w:t>
            </w:r>
          </w:p>
        </w:tc>
        <w:tc>
          <w:tcPr>
            <w:tcW w:w="114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983.18</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八、社会保障和就业支出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96.64</w:t>
            </w:r>
          </w:p>
        </w:tc>
        <w:tc>
          <w:tcPr>
            <w:tcW w:w="114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96.64</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九、医疗卫生与计划生育支出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66.93</w:t>
            </w:r>
          </w:p>
        </w:tc>
        <w:tc>
          <w:tcPr>
            <w:tcW w:w="114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66.93</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十九、住房保障支出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45.97</w:t>
            </w:r>
          </w:p>
        </w:tc>
        <w:tc>
          <w:tcPr>
            <w:tcW w:w="114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45.97</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0" w:firstLineChars="0"/>
              <w:jc w:val="left"/>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1418.32</w:t>
            </w:r>
          </w:p>
        </w:tc>
        <w:tc>
          <w:tcPr>
            <w:tcW w:w="314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1192.72</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129.78</w:t>
            </w:r>
          </w:p>
        </w:tc>
        <w:tc>
          <w:tcPr>
            <w:tcW w:w="314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355.38</w:t>
            </w: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129.78</w:t>
            </w: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0" w:firstLineChars="0"/>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314"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260" w:type="dxa"/>
            <w:tcBorders>
              <w:top w:val="nil"/>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1548.10</w:t>
            </w:r>
          </w:p>
        </w:tc>
        <w:tc>
          <w:tcPr>
            <w:tcW w:w="314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0" w:firstLineChars="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1548.10</w:t>
            </w:r>
          </w:p>
        </w:tc>
      </w:tr>
    </w:tbl>
    <w:p>
      <w:pPr>
        <w:rPr>
          <w:rFonts w:hint="eastAsia"/>
        </w:rPr>
      </w:pPr>
      <w:r>
        <w:rPr>
          <w:rFonts w:hint="eastAsia"/>
        </w:rPr>
        <w:t>注：本表反映部门本年度一般公共预算财政拨款和政府性基金预算财政拨款的总收支和年末结转结余情况。</w:t>
      </w:r>
    </w:p>
    <w:p>
      <w:pPr>
        <w:rPr>
          <w:rFonts w:hint="eastAsia"/>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7"/>
        <w:tblW w:w="13888" w:type="dxa"/>
        <w:jc w:val="center"/>
        <w:tblInd w:w="0" w:type="dxa"/>
        <w:tblLayout w:type="fixed"/>
        <w:tblCellMar>
          <w:top w:w="0" w:type="dxa"/>
          <w:left w:w="108" w:type="dxa"/>
          <w:bottom w:w="0" w:type="dxa"/>
          <w:right w:w="108" w:type="dxa"/>
        </w:tblCellMar>
      </w:tblPr>
      <w:tblGrid>
        <w:gridCol w:w="1283"/>
        <w:gridCol w:w="3409"/>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6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409"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69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类/款/项</w:t>
            </w:r>
          </w:p>
        </w:tc>
        <w:tc>
          <w:tcPr>
            <w:tcW w:w="3409" w:type="dxa"/>
            <w:tcBorders>
              <w:top w:val="nil"/>
              <w:left w:val="nil"/>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合计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1192.72</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692.79</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499.93</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一般公共服务支出</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983.18</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483.25</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499.93</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20113</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商贸事务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26.44</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26.44</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2011308</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招商引资</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26.44</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26.44</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20125</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港澳台侨事务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65.98</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26.26</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39.72</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2012501</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行政运行</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26.26</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26.26</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2012505</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台湾事务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39.72</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39.72</w:t>
            </w:r>
          </w:p>
        </w:tc>
      </w:tr>
      <w:tr>
        <w:tblPrEx>
          <w:tblLayout w:type="fixed"/>
          <w:tblCellMar>
            <w:top w:w="0" w:type="dxa"/>
            <w:left w:w="108" w:type="dxa"/>
            <w:bottom w:w="0" w:type="dxa"/>
            <w:right w:w="108" w:type="dxa"/>
          </w:tblCellMar>
        </w:tblPrEx>
        <w:trPr>
          <w:trHeight w:val="297"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统战事务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890.76</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456.99</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433.77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2013401</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行政运行</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389.58</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389.58</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2013402</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一般行政管理事务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331.46</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331.46</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2013405</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华侨事务</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85.94</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85.94</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2013450</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事业运行</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67.41</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67.41</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2013499</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其他统战事务支出</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16.37</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16.37</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社会保障和就业支出</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96.64</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96.64</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行政事业单位离退休</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96.64</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96.64</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2080501</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归口管理的行政单位离退休</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32.66</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32.66</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2080505</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机关事业单位基本养老保险缴费</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63.97</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63.97</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医疗卫生与计划生育支出</w:t>
            </w:r>
          </w:p>
        </w:tc>
        <w:tc>
          <w:tcPr>
            <w:tcW w:w="2900" w:type="dxa"/>
            <w:tcBorders>
              <w:top w:val="nil"/>
              <w:left w:val="nil"/>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66.93</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66.93</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行政事业单位医疗</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66.93</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66.93</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2101101</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行政单位医疗</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24.88</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24.88</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2101102</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事业单位医疗</w:t>
            </w:r>
          </w:p>
        </w:tc>
        <w:tc>
          <w:tcPr>
            <w:tcW w:w="2900" w:type="dxa"/>
            <w:tcBorders>
              <w:top w:val="nil"/>
              <w:left w:val="nil"/>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2.29</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2.29</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0.00</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3409" w:type="dxa"/>
            <w:tcBorders>
              <w:top w:val="nil"/>
              <w:left w:val="nil"/>
              <w:bottom w:val="single" w:color="auto" w:sz="4" w:space="0"/>
              <w:right w:val="single" w:color="auto" w:sz="4" w:space="0"/>
            </w:tcBorders>
            <w:vAlign w:val="top"/>
          </w:tcPr>
          <w:p>
            <w:pPr>
              <w:widowControl/>
              <w:ind w:firstLine="0" w:firstLineChars="0"/>
              <w:jc w:val="left"/>
              <w:rPr>
                <w:rFonts w:ascii="Arial" w:hAnsi="Arial" w:cs="Arial"/>
                <w:color w:val="000000"/>
                <w:kern w:val="0"/>
                <w:sz w:val="20"/>
                <w:szCs w:val="20"/>
              </w:rPr>
            </w:pPr>
            <w:r>
              <w:rPr>
                <w:rFonts w:hint="eastAsia" w:ascii="宋体" w:hAnsi="宋体" w:cs="Arial"/>
                <w:color w:val="000000"/>
                <w:kern w:val="0"/>
                <w:sz w:val="22"/>
                <w:szCs w:val="22"/>
              </w:rPr>
              <w:t>公务员医疗补助</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39.76</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39.76</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Arial" w:hAnsi="Arial" w:cs="Arial"/>
                <w:color w:val="000000"/>
                <w:kern w:val="0"/>
                <w:sz w:val="20"/>
                <w:szCs w:val="20"/>
              </w:rPr>
            </w:pPr>
            <w:r>
              <w:rPr>
                <w:rFonts w:hint="eastAsia" w:ascii="宋体" w:hAnsi="宋体" w:cs="Arial"/>
                <w:color w:val="000000"/>
                <w:kern w:val="0"/>
                <w:sz w:val="22"/>
                <w:szCs w:val="22"/>
              </w:rPr>
              <w:t>221</w:t>
            </w:r>
          </w:p>
        </w:tc>
        <w:tc>
          <w:tcPr>
            <w:tcW w:w="3409" w:type="dxa"/>
            <w:tcBorders>
              <w:top w:val="nil"/>
              <w:left w:val="nil"/>
              <w:bottom w:val="single" w:color="auto" w:sz="4" w:space="0"/>
              <w:right w:val="single" w:color="auto" w:sz="4" w:space="0"/>
            </w:tcBorders>
            <w:vAlign w:val="top"/>
          </w:tcPr>
          <w:p>
            <w:pPr>
              <w:widowControl/>
              <w:jc w:val="left"/>
              <w:rPr>
                <w:rFonts w:ascii="Arial" w:hAnsi="Arial" w:cs="Arial"/>
                <w:color w:val="000000"/>
                <w:kern w:val="0"/>
                <w:sz w:val="20"/>
                <w:szCs w:val="20"/>
              </w:rPr>
            </w:pPr>
            <w:r>
              <w:rPr>
                <w:rFonts w:hint="eastAsia" w:ascii="宋体" w:hAnsi="宋体" w:cs="Arial"/>
                <w:color w:val="000000"/>
                <w:kern w:val="0"/>
                <w:sz w:val="22"/>
                <w:szCs w:val="22"/>
              </w:rPr>
              <w:t>住房保障支出</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45.97</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45.97</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ind w:right="400"/>
              <w:jc w:val="both"/>
              <w:rPr>
                <w:rFonts w:hint="eastAsia" w:ascii="Arial" w:hAnsi="Arial" w:cs="Arial"/>
                <w:color w:val="000000"/>
                <w:kern w:val="0"/>
                <w:sz w:val="20"/>
                <w:szCs w:val="20"/>
              </w:rPr>
            </w:pPr>
            <w:r>
              <w:rPr>
                <w:rFonts w:hint="eastAsia" w:ascii="宋体" w:hAnsi="宋体" w:cs="Arial"/>
                <w:color w:val="000000"/>
                <w:kern w:val="0"/>
                <w:sz w:val="22"/>
                <w:szCs w:val="22"/>
              </w:rPr>
              <w:t>22102</w:t>
            </w:r>
          </w:p>
        </w:tc>
        <w:tc>
          <w:tcPr>
            <w:tcW w:w="3409" w:type="dxa"/>
            <w:tcBorders>
              <w:top w:val="nil"/>
              <w:left w:val="nil"/>
              <w:bottom w:val="single" w:color="auto" w:sz="4" w:space="0"/>
              <w:right w:val="single" w:color="auto" w:sz="4" w:space="0"/>
            </w:tcBorders>
            <w:vAlign w:val="top"/>
          </w:tcPr>
          <w:p>
            <w:pPr>
              <w:widowControl/>
              <w:ind w:firstLine="220" w:firstLineChars="0"/>
              <w:jc w:val="left"/>
              <w:rPr>
                <w:rFonts w:ascii="Arial" w:hAnsi="Arial" w:cs="Arial"/>
                <w:color w:val="000000"/>
                <w:kern w:val="0"/>
                <w:sz w:val="20"/>
                <w:szCs w:val="20"/>
              </w:rPr>
            </w:pPr>
            <w:r>
              <w:rPr>
                <w:rFonts w:hint="eastAsia" w:ascii="宋体" w:hAnsi="宋体" w:cs="Arial"/>
                <w:color w:val="000000"/>
                <w:kern w:val="0"/>
                <w:sz w:val="22"/>
                <w:szCs w:val="22"/>
              </w:rPr>
              <w:t>住房改革支出</w:t>
            </w:r>
          </w:p>
        </w:tc>
        <w:tc>
          <w:tcPr>
            <w:tcW w:w="2900" w:type="dxa"/>
            <w:tcBorders>
              <w:top w:val="nil"/>
              <w:left w:val="nil"/>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45.97</w:t>
            </w:r>
          </w:p>
        </w:tc>
        <w:tc>
          <w:tcPr>
            <w:tcW w:w="2900" w:type="dxa"/>
            <w:tcBorders>
              <w:top w:val="nil"/>
              <w:left w:val="nil"/>
              <w:bottom w:val="single" w:color="auto" w:sz="4" w:space="0"/>
              <w:right w:val="single" w:color="auto" w:sz="4" w:space="0"/>
            </w:tcBorders>
            <w:vAlign w:val="top"/>
          </w:tcPr>
          <w:p>
            <w:pPr>
              <w:widowControl/>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45.97</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both"/>
              <w:rPr>
                <w:rFonts w:ascii="Arial" w:hAnsi="Arial" w:cs="Arial"/>
                <w:color w:val="000000"/>
                <w:kern w:val="0"/>
                <w:sz w:val="20"/>
                <w:szCs w:val="20"/>
              </w:rPr>
            </w:pPr>
            <w:r>
              <w:rPr>
                <w:rFonts w:hint="eastAsia" w:ascii="宋体" w:hAnsi="宋体" w:cs="Arial"/>
                <w:color w:val="000000"/>
                <w:kern w:val="0"/>
                <w:sz w:val="22"/>
                <w:szCs w:val="22"/>
              </w:rPr>
              <w:t>2210201</w:t>
            </w:r>
          </w:p>
        </w:tc>
        <w:tc>
          <w:tcPr>
            <w:tcW w:w="3409" w:type="dxa"/>
            <w:tcBorders>
              <w:top w:val="nil"/>
              <w:left w:val="nil"/>
              <w:bottom w:val="single" w:color="auto" w:sz="4" w:space="0"/>
              <w:right w:val="single" w:color="auto" w:sz="4" w:space="0"/>
            </w:tcBorders>
            <w:vAlign w:val="top"/>
          </w:tcPr>
          <w:p>
            <w:pPr>
              <w:widowControl/>
              <w:ind w:firstLine="220" w:firstLineChars="100"/>
              <w:jc w:val="left"/>
              <w:rPr>
                <w:rFonts w:ascii="Arial" w:hAnsi="Arial" w:cs="Arial"/>
                <w:color w:val="000000"/>
                <w:kern w:val="0"/>
                <w:sz w:val="20"/>
                <w:szCs w:val="20"/>
              </w:rPr>
            </w:pPr>
            <w:r>
              <w:rPr>
                <w:rFonts w:hint="eastAsia" w:ascii="宋体" w:hAnsi="宋体" w:cs="Arial"/>
                <w:color w:val="000000"/>
                <w:kern w:val="0"/>
                <w:sz w:val="22"/>
                <w:szCs w:val="22"/>
              </w:rPr>
              <w:t>住房公积金</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45.97</w:t>
            </w:r>
          </w:p>
        </w:tc>
        <w:tc>
          <w:tcPr>
            <w:tcW w:w="2900" w:type="dxa"/>
            <w:tcBorders>
              <w:top w:val="nil"/>
              <w:left w:val="nil"/>
              <w:bottom w:val="single" w:color="auto" w:sz="4" w:space="0"/>
              <w:right w:val="single" w:color="auto" w:sz="4" w:space="0"/>
            </w:tcBorders>
            <w:vAlign w:val="top"/>
          </w:tcPr>
          <w:p>
            <w:pPr>
              <w:widowControl/>
              <w:ind w:firstLine="0" w:firstLineChars="0"/>
              <w:jc w:val="center"/>
              <w:rPr>
                <w:rFonts w:hint="eastAsia" w:ascii="Arial" w:hAnsi="Arial" w:cs="Arial"/>
                <w:color w:val="000000"/>
                <w:kern w:val="0"/>
                <w:sz w:val="20"/>
                <w:szCs w:val="20"/>
              </w:rPr>
            </w:pPr>
            <w:r>
              <w:rPr>
                <w:rFonts w:hint="eastAsia" w:ascii="宋体" w:hAnsi="宋体" w:cs="Arial"/>
                <w:color w:val="000000"/>
                <w:kern w:val="0"/>
                <w:sz w:val="22"/>
                <w:szCs w:val="22"/>
                <w:lang w:val="en-US" w:eastAsia="zh-CN"/>
              </w:rPr>
              <w:t>45.97</w:t>
            </w:r>
          </w:p>
        </w:tc>
        <w:tc>
          <w:tcPr>
            <w:tcW w:w="3396" w:type="dxa"/>
            <w:tcBorders>
              <w:top w:val="nil"/>
              <w:left w:val="nil"/>
              <w:bottom w:val="single" w:color="auto" w:sz="4" w:space="0"/>
              <w:right w:val="single" w:color="auto" w:sz="4" w:space="0"/>
            </w:tcBorders>
            <w:vAlign w:val="top"/>
          </w:tcPr>
          <w:p>
            <w:pPr>
              <w:widowControl/>
              <w:ind w:firstLine="0" w:firstLineChars="0"/>
              <w:jc w:val="center"/>
              <w:rPr>
                <w:rFonts w:ascii="Arial" w:hAnsi="Arial" w:cs="Arial"/>
                <w:color w:val="000000"/>
                <w:kern w:val="0"/>
                <w:sz w:val="20"/>
                <w:szCs w:val="20"/>
              </w:rPr>
            </w:pPr>
            <w:r>
              <w:rPr>
                <w:rFonts w:hint="eastAsia" w:ascii="宋体" w:hAnsi="宋体" w:cs="Arial"/>
                <w:color w:val="000000"/>
                <w:kern w:val="0"/>
                <w:sz w:val="22"/>
                <w:szCs w:val="22"/>
              </w:rPr>
              <w:t>0.00</w:t>
            </w:r>
          </w:p>
        </w:tc>
      </w:tr>
    </w:tbl>
    <w:p>
      <w:pPr>
        <w:rPr>
          <w:rFonts w:hint="eastAsia"/>
        </w:rPr>
        <w:sectPr>
          <w:footerReference r:id="rId9" w:type="default"/>
          <w:footerReference r:id="rId10" w:type="even"/>
          <w:pgSz w:w="16838" w:h="11906" w:orient="landscape"/>
          <w:pgMar w:top="1134" w:right="1440" w:bottom="1134" w:left="1440" w:header="851" w:footer="992" w:gutter="0"/>
          <w:pgNumType w:fmt="numberInDash"/>
          <w:cols w:space="720" w:num="1"/>
          <w:docGrid w:type="lines" w:linePitch="312" w:charSpace="0"/>
        </w:sectPr>
      </w:pPr>
    </w:p>
    <w:p/>
    <w:p>
      <w:pPr>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7"/>
        <w:tblW w:w="9451" w:type="dxa"/>
        <w:tblInd w:w="-207" w:type="dxa"/>
        <w:tblLayout w:type="fixed"/>
        <w:tblCellMar>
          <w:top w:w="0" w:type="dxa"/>
          <w:left w:w="108" w:type="dxa"/>
          <w:bottom w:w="0" w:type="dxa"/>
          <w:right w:w="108" w:type="dxa"/>
        </w:tblCellMar>
      </w:tblPr>
      <w:tblGrid>
        <w:gridCol w:w="945"/>
        <w:gridCol w:w="3465"/>
        <w:gridCol w:w="877"/>
        <w:gridCol w:w="849"/>
        <w:gridCol w:w="2054"/>
        <w:gridCol w:w="1261"/>
      </w:tblGrid>
      <w:tr>
        <w:tblPrEx>
          <w:tblLayout w:type="fixed"/>
          <w:tblCellMar>
            <w:top w:w="0" w:type="dxa"/>
            <w:left w:w="108" w:type="dxa"/>
            <w:bottom w:w="0" w:type="dxa"/>
            <w:right w:w="108" w:type="dxa"/>
          </w:tblCellMar>
        </w:tblPrEx>
        <w:trPr>
          <w:trHeight w:val="564" w:hRule="atLeast"/>
        </w:trPr>
        <w:tc>
          <w:tcPr>
            <w:tcW w:w="52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45"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346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77"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05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6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566.75</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93.38</w:t>
            </w:r>
          </w:p>
        </w:tc>
      </w:tr>
      <w:tr>
        <w:tblPrEx>
          <w:tblLayout w:type="fixed"/>
          <w:tblCellMar>
            <w:top w:w="0" w:type="dxa"/>
            <w:left w:w="108" w:type="dxa"/>
            <w:bottom w:w="0" w:type="dxa"/>
            <w:right w:w="108" w:type="dxa"/>
          </w:tblCellMar>
        </w:tblPrEx>
        <w:trPr>
          <w:trHeight w:val="264"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877"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228.38</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30201</w:t>
            </w:r>
          </w:p>
        </w:tc>
        <w:tc>
          <w:tcPr>
            <w:tcW w:w="205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13.76</w:t>
            </w:r>
          </w:p>
        </w:tc>
      </w:tr>
      <w:tr>
        <w:tblPrEx>
          <w:tblLayout w:type="fixed"/>
          <w:tblCellMar>
            <w:top w:w="0" w:type="dxa"/>
            <w:left w:w="108" w:type="dxa"/>
            <w:bottom w:w="0" w:type="dxa"/>
            <w:right w:w="108" w:type="dxa"/>
          </w:tblCellMar>
        </w:tblPrEx>
        <w:trPr>
          <w:trHeight w:val="264"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118.54</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30202</w:t>
            </w:r>
          </w:p>
        </w:tc>
        <w:tc>
          <w:tcPr>
            <w:tcW w:w="205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0.15</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绩效工资</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2054"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手续费</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0.06</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877"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30205</w:t>
            </w:r>
          </w:p>
        </w:tc>
        <w:tc>
          <w:tcPr>
            <w:tcW w:w="205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0.12</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职业年金缴费</w:t>
            </w:r>
          </w:p>
        </w:tc>
        <w:tc>
          <w:tcPr>
            <w:tcW w:w="877"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35.48</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30206</w:t>
            </w:r>
          </w:p>
        </w:tc>
        <w:tc>
          <w:tcPr>
            <w:tcW w:w="205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2.63</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66.40</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30207</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2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6.75</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1.21</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30211</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1261" w:type="dxa"/>
            <w:tcBorders>
              <w:top w:val="nil"/>
              <w:left w:val="nil"/>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6.88</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27.57</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30213</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2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0.10</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30113</w:t>
            </w:r>
          </w:p>
        </w:tc>
        <w:tc>
          <w:tcPr>
            <w:tcW w:w="3465"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39.76</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30214</w:t>
            </w:r>
          </w:p>
        </w:tc>
        <w:tc>
          <w:tcPr>
            <w:tcW w:w="2054"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lang w:eastAsia="zh-CN"/>
              </w:rPr>
              <w:t>租赁费</w:t>
            </w:r>
          </w:p>
        </w:tc>
        <w:tc>
          <w:tcPr>
            <w:tcW w:w="12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30199</w:t>
            </w:r>
          </w:p>
        </w:tc>
        <w:tc>
          <w:tcPr>
            <w:tcW w:w="3465" w:type="dxa"/>
            <w:tcBorders>
              <w:top w:val="nil"/>
              <w:left w:val="nil"/>
              <w:bottom w:val="single" w:color="auto" w:sz="4" w:space="0"/>
              <w:right w:val="single" w:color="auto" w:sz="4" w:space="0"/>
            </w:tcBorders>
            <w:vAlign w:val="center"/>
          </w:tcPr>
          <w:p>
            <w:pPr>
              <w:widowControl/>
              <w:jc w:val="both"/>
              <w:rPr>
                <w:rFonts w:hint="eastAsia" w:ascii="宋体" w:hAnsi="宋体" w:cs="Arial"/>
                <w:color w:val="000000"/>
                <w:kern w:val="0"/>
                <w:sz w:val="22"/>
                <w:szCs w:val="22"/>
              </w:rPr>
            </w:pPr>
            <w:r>
              <w:rPr>
                <w:rFonts w:hint="eastAsia" w:ascii="宋体" w:hAnsi="宋体" w:cs="Arial"/>
                <w:color w:val="000000"/>
                <w:kern w:val="0"/>
                <w:sz w:val="22"/>
                <w:szCs w:val="22"/>
              </w:rPr>
              <w:t>其他工资福利支出</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2.19</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rPr>
              <w:t>30215</w:t>
            </w:r>
          </w:p>
        </w:tc>
        <w:tc>
          <w:tcPr>
            <w:tcW w:w="2054"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会议费</w:t>
            </w:r>
          </w:p>
        </w:tc>
        <w:tc>
          <w:tcPr>
            <w:tcW w:w="12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auto"/>
                <w:kern w:val="0"/>
                <w:sz w:val="22"/>
                <w:szCs w:val="22"/>
                <w:lang w:val="en-US" w:eastAsia="zh-CN"/>
              </w:rPr>
              <w:t>1.39</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303</w:t>
            </w:r>
          </w:p>
        </w:tc>
        <w:tc>
          <w:tcPr>
            <w:tcW w:w="3465"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46.92</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30216</w:t>
            </w:r>
          </w:p>
        </w:tc>
        <w:tc>
          <w:tcPr>
            <w:tcW w:w="2054"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培训费</w:t>
            </w:r>
          </w:p>
        </w:tc>
        <w:tc>
          <w:tcPr>
            <w:tcW w:w="12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1.54</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30301</w:t>
            </w:r>
          </w:p>
        </w:tc>
        <w:tc>
          <w:tcPr>
            <w:tcW w:w="3465"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离休费</w:t>
            </w:r>
          </w:p>
        </w:tc>
        <w:tc>
          <w:tcPr>
            <w:tcW w:w="877" w:type="dxa"/>
            <w:tcBorders>
              <w:top w:val="nil"/>
              <w:left w:val="nil"/>
              <w:bottom w:val="single" w:color="auto" w:sz="4" w:space="0"/>
              <w:right w:val="single" w:color="auto" w:sz="4" w:space="0"/>
            </w:tcBorders>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0.29</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30217</w:t>
            </w:r>
          </w:p>
        </w:tc>
        <w:tc>
          <w:tcPr>
            <w:tcW w:w="2054"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公务接待费</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0.49</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30302</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32.66</w:t>
            </w: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30228</w:t>
            </w:r>
          </w:p>
        </w:tc>
        <w:tc>
          <w:tcPr>
            <w:tcW w:w="2054"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工会费</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7.11</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30304</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抚恤金</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15.53</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30229</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福利费</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r>
              <w:rPr>
                <w:rFonts w:hint="eastAsia" w:ascii="宋体" w:hAnsi="宋体" w:cs="Arial"/>
                <w:color w:val="000000"/>
                <w:kern w:val="0"/>
                <w:sz w:val="22"/>
                <w:szCs w:val="22"/>
                <w:lang w:val="en-US" w:eastAsia="zh-CN"/>
              </w:rPr>
              <w:t>0.04</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30399</w:t>
            </w: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其他个人和家庭补助支出</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17.13</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30231</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公车运行维护费</w:t>
            </w:r>
          </w:p>
        </w:tc>
        <w:tc>
          <w:tcPr>
            <w:tcW w:w="126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000000"/>
                <w:kern w:val="0"/>
                <w:sz w:val="22"/>
                <w:szCs w:val="22"/>
                <w:lang w:val="en-US" w:eastAsia="zh-CN"/>
              </w:rPr>
              <w:t>1.83</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30239</w:t>
            </w:r>
          </w:p>
        </w:tc>
        <w:tc>
          <w:tcPr>
            <w:tcW w:w="205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1261" w:type="dxa"/>
            <w:tcBorders>
              <w:top w:val="nil"/>
              <w:left w:val="nil"/>
              <w:bottom w:val="single" w:color="auto" w:sz="4" w:space="0"/>
              <w:right w:val="single" w:color="auto" w:sz="4" w:space="0"/>
            </w:tcBorders>
            <w:vAlign w:val="bottom"/>
          </w:tcPr>
          <w:p>
            <w:pPr>
              <w:ind w:firstLine="210" w:firstLineChars="100"/>
              <w:rPr>
                <w:rFonts w:hint="eastAsia" w:ascii="宋体" w:hAnsi="宋体" w:eastAsia="宋体" w:cs="Arial"/>
                <w:color w:val="000000"/>
                <w:kern w:val="0"/>
                <w:sz w:val="22"/>
                <w:szCs w:val="22"/>
                <w:lang w:val="en-US" w:eastAsia="zh-CN"/>
              </w:rPr>
            </w:pPr>
            <w:r>
              <w:rPr>
                <w:rFonts w:hint="eastAsia"/>
                <w:lang w:val="en-US" w:eastAsia="zh-CN"/>
              </w:rPr>
              <w:t>26.54</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346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30299</w:t>
            </w:r>
          </w:p>
        </w:tc>
        <w:tc>
          <w:tcPr>
            <w:tcW w:w="2054"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其他商品服务支出</w:t>
            </w:r>
          </w:p>
        </w:tc>
        <w:tc>
          <w:tcPr>
            <w:tcW w:w="1261" w:type="dxa"/>
            <w:tcBorders>
              <w:top w:val="nil"/>
              <w:left w:val="nil"/>
              <w:bottom w:val="single" w:color="auto" w:sz="4" w:space="0"/>
              <w:right w:val="single" w:color="auto" w:sz="4" w:space="0"/>
            </w:tcBorders>
            <w:vAlign w:val="bottom"/>
          </w:tcPr>
          <w:p>
            <w:pPr>
              <w:ind w:firstLine="210" w:firstLineChars="100"/>
              <w:rPr>
                <w:rFonts w:hint="eastAsia" w:ascii="宋体" w:hAnsi="宋体" w:eastAsia="宋体" w:cs="Arial"/>
                <w:color w:val="000000"/>
                <w:kern w:val="0"/>
                <w:sz w:val="22"/>
                <w:szCs w:val="22"/>
                <w:lang w:val="en-US" w:eastAsia="zh-CN"/>
              </w:rPr>
            </w:pPr>
            <w:r>
              <w:rPr>
                <w:rFonts w:hint="eastAsia"/>
                <w:lang w:val="en-US" w:eastAsia="zh-CN"/>
              </w:rPr>
              <w:t>22.81</w:t>
            </w: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tc>
        <w:tc>
          <w:tcPr>
            <w:tcW w:w="3465" w:type="dxa"/>
            <w:tcBorders>
              <w:top w:val="nil"/>
              <w:left w:val="nil"/>
              <w:bottom w:val="single" w:color="auto" w:sz="4" w:space="0"/>
              <w:right w:val="single" w:color="auto" w:sz="4" w:space="0"/>
            </w:tcBorders>
            <w:vAlign w:val="bottom"/>
          </w:tcPr>
          <w:p/>
        </w:tc>
        <w:tc>
          <w:tcPr>
            <w:tcW w:w="877" w:type="dxa"/>
            <w:tcBorders>
              <w:top w:val="nil"/>
              <w:left w:val="nil"/>
              <w:bottom w:val="single" w:color="auto" w:sz="4" w:space="0"/>
              <w:right w:val="single" w:color="auto" w:sz="4" w:space="0"/>
            </w:tcBorders>
            <w:vAlign w:val="bottom"/>
          </w:tcPr>
          <w:p/>
        </w:tc>
        <w:tc>
          <w:tcPr>
            <w:tcW w:w="849" w:type="dxa"/>
            <w:tcBorders>
              <w:top w:val="nil"/>
              <w:left w:val="nil"/>
              <w:bottom w:val="single" w:color="auto" w:sz="4" w:space="0"/>
              <w:right w:val="single" w:color="auto" w:sz="4" w:space="0"/>
            </w:tcBorders>
            <w:vAlign w:val="bottom"/>
          </w:tcPr>
          <w:p>
            <w:pPr>
              <w:widowControl/>
              <w:jc w:val="left"/>
            </w:pPr>
          </w:p>
        </w:tc>
        <w:tc>
          <w:tcPr>
            <w:tcW w:w="2054" w:type="dxa"/>
            <w:tcBorders>
              <w:top w:val="nil"/>
              <w:left w:val="nil"/>
              <w:bottom w:val="single" w:color="auto" w:sz="4" w:space="0"/>
              <w:right w:val="single" w:color="auto" w:sz="4" w:space="0"/>
            </w:tcBorders>
            <w:vAlign w:val="bottom"/>
          </w:tcPr>
          <w:p>
            <w:pPr>
              <w:widowControl/>
              <w:jc w:val="left"/>
            </w:pPr>
          </w:p>
        </w:tc>
        <w:tc>
          <w:tcPr>
            <w:tcW w:w="1261" w:type="dxa"/>
            <w:tcBorders>
              <w:top w:val="nil"/>
              <w:left w:val="nil"/>
              <w:bottom w:val="single" w:color="auto" w:sz="4" w:space="0"/>
              <w:right w:val="single" w:color="auto" w:sz="4" w:space="0"/>
            </w:tcBorders>
            <w:vAlign w:val="bottom"/>
          </w:tcPr>
          <w:p>
            <w:pPr>
              <w:rPr>
                <w:rFonts w:hint="eastAsia" w:eastAsia="宋体"/>
                <w:lang w:val="en-US" w:eastAsia="zh-CN"/>
              </w:rPr>
            </w:pP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tc>
        <w:tc>
          <w:tcPr>
            <w:tcW w:w="3465" w:type="dxa"/>
            <w:tcBorders>
              <w:top w:val="nil"/>
              <w:left w:val="nil"/>
              <w:bottom w:val="single" w:color="auto" w:sz="4" w:space="0"/>
              <w:right w:val="single" w:color="auto" w:sz="4" w:space="0"/>
            </w:tcBorders>
            <w:vAlign w:val="bottom"/>
          </w:tcPr>
          <w:p/>
        </w:tc>
        <w:tc>
          <w:tcPr>
            <w:tcW w:w="877" w:type="dxa"/>
            <w:tcBorders>
              <w:top w:val="nil"/>
              <w:left w:val="nil"/>
              <w:bottom w:val="single" w:color="auto" w:sz="4" w:space="0"/>
              <w:right w:val="single" w:color="auto" w:sz="4" w:space="0"/>
            </w:tcBorders>
            <w:vAlign w:val="bottom"/>
          </w:tcPr>
          <w:p/>
        </w:tc>
        <w:tc>
          <w:tcPr>
            <w:tcW w:w="849" w:type="dxa"/>
            <w:tcBorders>
              <w:top w:val="nil"/>
              <w:left w:val="nil"/>
              <w:bottom w:val="single" w:color="auto" w:sz="4" w:space="0"/>
              <w:right w:val="single" w:color="auto" w:sz="4" w:space="0"/>
            </w:tcBorders>
            <w:vAlign w:val="bottom"/>
          </w:tcPr>
          <w:p>
            <w:pPr>
              <w:widowControl/>
              <w:jc w:val="left"/>
            </w:pPr>
          </w:p>
        </w:tc>
        <w:tc>
          <w:tcPr>
            <w:tcW w:w="2054" w:type="dxa"/>
            <w:tcBorders>
              <w:top w:val="nil"/>
              <w:left w:val="nil"/>
              <w:bottom w:val="single" w:color="auto" w:sz="4" w:space="0"/>
              <w:right w:val="single" w:color="auto" w:sz="4" w:space="0"/>
            </w:tcBorders>
            <w:vAlign w:val="bottom"/>
          </w:tcPr>
          <w:p>
            <w:pPr>
              <w:widowControl/>
              <w:jc w:val="left"/>
            </w:pPr>
          </w:p>
        </w:tc>
        <w:tc>
          <w:tcPr>
            <w:tcW w:w="1261" w:type="dxa"/>
            <w:tcBorders>
              <w:top w:val="nil"/>
              <w:left w:val="nil"/>
              <w:bottom w:val="single" w:color="auto" w:sz="4" w:space="0"/>
              <w:right w:val="single" w:color="auto" w:sz="4" w:space="0"/>
            </w:tcBorders>
            <w:vAlign w:val="bottom"/>
          </w:tcPr>
          <w:p>
            <w:pPr>
              <w:rPr>
                <w:rFonts w:hint="eastAsia" w:eastAsia="宋体"/>
                <w:lang w:val="en-US" w:eastAsia="zh-CN"/>
              </w:rPr>
            </w:pP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tc>
        <w:tc>
          <w:tcPr>
            <w:tcW w:w="3465" w:type="dxa"/>
            <w:tcBorders>
              <w:top w:val="nil"/>
              <w:left w:val="nil"/>
              <w:bottom w:val="single" w:color="auto" w:sz="4" w:space="0"/>
              <w:right w:val="single" w:color="auto" w:sz="4" w:space="0"/>
            </w:tcBorders>
            <w:vAlign w:val="bottom"/>
          </w:tcPr>
          <w:p/>
        </w:tc>
        <w:tc>
          <w:tcPr>
            <w:tcW w:w="877" w:type="dxa"/>
            <w:tcBorders>
              <w:top w:val="nil"/>
              <w:left w:val="nil"/>
              <w:bottom w:val="single" w:color="auto" w:sz="4" w:space="0"/>
              <w:right w:val="single" w:color="auto" w:sz="4" w:space="0"/>
            </w:tcBorders>
            <w:vAlign w:val="bottom"/>
          </w:tcPr>
          <w:p/>
        </w:tc>
        <w:tc>
          <w:tcPr>
            <w:tcW w:w="849" w:type="dxa"/>
            <w:tcBorders>
              <w:top w:val="nil"/>
              <w:left w:val="nil"/>
              <w:bottom w:val="single" w:color="auto" w:sz="4" w:space="0"/>
              <w:right w:val="single" w:color="auto" w:sz="4" w:space="0"/>
            </w:tcBorders>
            <w:vAlign w:val="bottom"/>
          </w:tcPr>
          <w:p/>
        </w:tc>
        <w:tc>
          <w:tcPr>
            <w:tcW w:w="2054" w:type="dxa"/>
            <w:tcBorders>
              <w:top w:val="nil"/>
              <w:left w:val="nil"/>
              <w:bottom w:val="single" w:color="auto" w:sz="4" w:space="0"/>
              <w:right w:val="single" w:color="auto" w:sz="4" w:space="0"/>
            </w:tcBorders>
            <w:vAlign w:val="bottom"/>
          </w:tcPr>
          <w:p/>
        </w:tc>
        <w:tc>
          <w:tcPr>
            <w:tcW w:w="1261" w:type="dxa"/>
            <w:tcBorders>
              <w:top w:val="nil"/>
              <w:left w:val="nil"/>
              <w:bottom w:val="single" w:color="auto" w:sz="4" w:space="0"/>
              <w:right w:val="single" w:color="auto" w:sz="4" w:space="0"/>
            </w:tcBorders>
            <w:vAlign w:val="bottom"/>
          </w:tcPr>
          <w:p/>
        </w:tc>
      </w:tr>
      <w:tr>
        <w:tblPrEx>
          <w:tblLayout w:type="fixed"/>
          <w:tblCellMar>
            <w:top w:w="0" w:type="dxa"/>
            <w:left w:w="108" w:type="dxa"/>
            <w:bottom w:w="0" w:type="dxa"/>
            <w:right w:w="108" w:type="dxa"/>
          </w:tblCellMar>
        </w:tblPrEx>
        <w:trPr>
          <w:trHeight w:val="276" w:hRule="atLeast"/>
        </w:trPr>
        <w:tc>
          <w:tcPr>
            <w:tcW w:w="945" w:type="dxa"/>
            <w:tcBorders>
              <w:top w:val="nil"/>
              <w:left w:val="single" w:color="auto" w:sz="4" w:space="0"/>
              <w:bottom w:val="single" w:color="auto" w:sz="4" w:space="0"/>
              <w:right w:val="single" w:color="auto" w:sz="4" w:space="0"/>
            </w:tcBorders>
            <w:vAlign w:val="center"/>
          </w:tcPr>
          <w:p/>
        </w:tc>
        <w:tc>
          <w:tcPr>
            <w:tcW w:w="3465" w:type="dxa"/>
            <w:tcBorders>
              <w:top w:val="nil"/>
              <w:left w:val="nil"/>
              <w:bottom w:val="single" w:color="auto" w:sz="4" w:space="0"/>
              <w:right w:val="single" w:color="auto" w:sz="4" w:space="0"/>
            </w:tcBorders>
            <w:vAlign w:val="bottom"/>
          </w:tcPr>
          <w:p/>
        </w:tc>
        <w:tc>
          <w:tcPr>
            <w:tcW w:w="877" w:type="dxa"/>
            <w:tcBorders>
              <w:top w:val="nil"/>
              <w:left w:val="nil"/>
              <w:bottom w:val="single" w:color="auto" w:sz="4" w:space="0"/>
              <w:right w:val="single" w:color="auto" w:sz="4" w:space="0"/>
            </w:tcBorders>
            <w:vAlign w:val="bottom"/>
          </w:tcPr>
          <w:p/>
        </w:tc>
        <w:tc>
          <w:tcPr>
            <w:tcW w:w="849" w:type="dxa"/>
            <w:tcBorders>
              <w:top w:val="nil"/>
              <w:left w:val="nil"/>
              <w:bottom w:val="single" w:color="auto" w:sz="4" w:space="0"/>
              <w:right w:val="single" w:color="auto" w:sz="4" w:space="0"/>
            </w:tcBorders>
            <w:vAlign w:val="bottom"/>
          </w:tcPr>
          <w:p/>
        </w:tc>
        <w:tc>
          <w:tcPr>
            <w:tcW w:w="2054" w:type="dxa"/>
            <w:tcBorders>
              <w:top w:val="nil"/>
              <w:left w:val="nil"/>
              <w:bottom w:val="single" w:color="auto" w:sz="4" w:space="0"/>
              <w:right w:val="single" w:color="auto" w:sz="4" w:space="0"/>
            </w:tcBorders>
            <w:vAlign w:val="bottom"/>
          </w:tcPr>
          <w:p/>
        </w:tc>
        <w:tc>
          <w:tcPr>
            <w:tcW w:w="1261" w:type="dxa"/>
            <w:tcBorders>
              <w:top w:val="nil"/>
              <w:left w:val="nil"/>
              <w:bottom w:val="single" w:color="auto" w:sz="4" w:space="0"/>
              <w:right w:val="single" w:color="auto" w:sz="4" w:space="0"/>
            </w:tcBorders>
            <w:vAlign w:val="bottom"/>
          </w:tcPr>
          <w:p/>
        </w:tc>
      </w:tr>
      <w:tr>
        <w:tblPrEx>
          <w:tblLayout w:type="fixed"/>
          <w:tblCellMar>
            <w:top w:w="0" w:type="dxa"/>
            <w:left w:w="108" w:type="dxa"/>
            <w:bottom w:w="0" w:type="dxa"/>
            <w:right w:w="108" w:type="dxa"/>
          </w:tblCellMar>
        </w:tblPrEx>
        <w:trPr>
          <w:trHeight w:val="264" w:hRule="atLeast"/>
        </w:trPr>
        <w:tc>
          <w:tcPr>
            <w:tcW w:w="441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77"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599.41</w:t>
            </w:r>
          </w:p>
        </w:tc>
        <w:tc>
          <w:tcPr>
            <w:tcW w:w="2903"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261"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93.38</w:t>
            </w:r>
          </w:p>
        </w:tc>
      </w:tr>
    </w:tbl>
    <w:p>
      <w:pPr>
        <w:sectPr>
          <w:pgSz w:w="11906" w:h="16838"/>
          <w:pgMar w:top="1440" w:right="1797" w:bottom="1440" w:left="1797" w:header="851" w:footer="992" w:gutter="0"/>
          <w:pgNumType w:fmt="numberInDash"/>
          <w:cols w:space="720" w:num="1"/>
          <w:docGrid w:type="linesAndChars" w:linePitch="312" w:charSpace="0"/>
        </w:sectPr>
      </w:pPr>
      <w:r>
        <w:rPr>
          <w:rFonts w:hint="eastAsia"/>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7"/>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984"/>
        <w:gridCol w:w="1382"/>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9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382"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82"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98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8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jc w:val="both"/>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29.13</w:t>
            </w:r>
          </w:p>
        </w:tc>
        <w:tc>
          <w:tcPr>
            <w:tcW w:w="1603"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12</w:t>
            </w:r>
          </w:p>
        </w:tc>
        <w:tc>
          <w:tcPr>
            <w:tcW w:w="828"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w:t>
            </w:r>
          </w:p>
        </w:tc>
        <w:tc>
          <w:tcPr>
            <w:tcW w:w="1242" w:type="dxa"/>
            <w:tcBorders>
              <w:top w:val="nil"/>
              <w:left w:val="nil"/>
              <w:bottom w:val="single" w:color="auto" w:sz="4" w:space="0"/>
              <w:right w:val="single" w:color="auto" w:sz="4" w:space="0"/>
            </w:tcBorders>
            <w:vAlign w:val="center"/>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vAlign w:val="center"/>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w:t>
            </w: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15.13</w:t>
            </w:r>
          </w:p>
        </w:tc>
        <w:tc>
          <w:tcPr>
            <w:tcW w:w="984"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26.44</w:t>
            </w:r>
          </w:p>
        </w:tc>
        <w:tc>
          <w:tcPr>
            <w:tcW w:w="1382"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12</w:t>
            </w:r>
          </w:p>
        </w:tc>
        <w:tc>
          <w:tcPr>
            <w:tcW w:w="80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1.83</w:t>
            </w:r>
          </w:p>
        </w:tc>
        <w:tc>
          <w:tcPr>
            <w:tcW w:w="1398" w:type="dxa"/>
            <w:tcBorders>
              <w:top w:val="nil"/>
              <w:left w:val="nil"/>
              <w:bottom w:val="single" w:color="auto" w:sz="4" w:space="0"/>
              <w:right w:val="single" w:color="auto" w:sz="4" w:space="0"/>
            </w:tcBorders>
            <w:vAlign w:val="center"/>
          </w:tcPr>
          <w:p>
            <w:pPr>
              <w:widowControl/>
              <w:ind w:firstLine="400" w:firstLineChars="2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1.83</w:t>
            </w: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12.61</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7"/>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ind w:firstLine="420" w:firstLineChars="200"/>
        <w:rPr>
          <w:rFonts w:hint="eastAsia" w:ascii="仿宋_GB2312" w:eastAsia="宋体"/>
          <w:b/>
          <w:sz w:val="32"/>
          <w:szCs w:val="32"/>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rPr>
        <w:t xml:space="preserve">    注： </w:t>
      </w:r>
      <w:r>
        <w:rPr>
          <w:rFonts w:hint="eastAsia"/>
          <w:lang w:eastAsia="zh-CN"/>
        </w:rPr>
        <w:t>柳州</w:t>
      </w:r>
      <w:r>
        <w:rPr>
          <w:rFonts w:hint="eastAsia"/>
        </w:rPr>
        <w:t>市委统战部没有政府性基金预算财政拨款收入，也没有政府性基金预算财政拨款安排的支出，故本表无数据</w:t>
      </w:r>
      <w:r>
        <w:rPr>
          <w:rFonts w:hint="eastAsia"/>
          <w:lang w:eastAsia="zh-CN"/>
        </w:rPr>
        <w:t>。</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柳州市委统战部</w:t>
      </w:r>
      <w:r>
        <w:rPr>
          <w:rFonts w:hint="eastAsia" w:ascii="仿宋_GB2312" w:eastAsia="仿宋_GB2312"/>
          <w:b/>
          <w:sz w:val="32"/>
          <w:szCs w:val="32"/>
          <w:u w:val="none"/>
          <w:lang w:eastAsia="zh-CN"/>
        </w:rPr>
        <w:t>2</w:t>
      </w:r>
      <w:r>
        <w:rPr>
          <w:rFonts w:hint="eastAsia" w:ascii="仿宋_GB2312" w:eastAsia="仿宋_GB2312"/>
          <w:b/>
          <w:sz w:val="32"/>
          <w:szCs w:val="32"/>
          <w:lang w:eastAsia="zh-CN"/>
        </w:rPr>
        <w:t>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1548.10</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1548.10</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年相比，收、支分别增加</w:t>
      </w:r>
      <w:r>
        <w:rPr>
          <w:rFonts w:hint="eastAsia" w:ascii="仿宋_GB2312" w:eastAsia="仿宋_GB2312" w:cs="仿宋_GB2312"/>
          <w:b w:val="0"/>
          <w:bCs/>
          <w:kern w:val="0"/>
          <w:sz w:val="32"/>
          <w:szCs w:val="32"/>
          <w:lang w:val="en-US" w:eastAsia="zh-CN"/>
        </w:rPr>
        <w:t>351.56</w:t>
      </w:r>
      <w:r>
        <w:rPr>
          <w:rFonts w:hint="eastAsia" w:ascii="仿宋_GB2312" w:eastAsia="仿宋_GB2312" w:cs="仿宋_GB2312"/>
          <w:b w:val="0"/>
          <w:bCs/>
          <w:kern w:val="0"/>
          <w:sz w:val="32"/>
          <w:szCs w:val="32"/>
        </w:rPr>
        <w:t>；分别增长</w:t>
      </w:r>
      <w:r>
        <w:rPr>
          <w:rFonts w:hint="eastAsia" w:ascii="仿宋_GB2312" w:eastAsia="仿宋_GB2312" w:cs="仿宋_GB2312"/>
          <w:b w:val="0"/>
          <w:bCs/>
          <w:kern w:val="0"/>
          <w:sz w:val="32"/>
          <w:szCs w:val="32"/>
          <w:lang w:val="en-US" w:eastAsia="zh-CN"/>
        </w:rPr>
        <w:t>29.38</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val="en-US" w:eastAsia="zh-CN"/>
        </w:rPr>
        <w:t>。增长原因为机构改革后，侨务人员及项目经费划归我部管理。</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w:t>
      </w:r>
      <w:r>
        <w:rPr>
          <w:rFonts w:hint="eastAsia" w:ascii="仿宋_GB2312" w:eastAsia="仿宋_GB2312" w:cs="仿宋_GB2312"/>
          <w:b w:val="0"/>
          <w:bCs/>
          <w:kern w:val="0"/>
          <w:sz w:val="32"/>
          <w:szCs w:val="32"/>
          <w:lang w:eastAsia="zh-CN"/>
        </w:rPr>
        <w:t>合</w:t>
      </w:r>
      <w:r>
        <w:rPr>
          <w:rFonts w:hint="eastAsia" w:ascii="仿宋_GB2312" w:eastAsia="仿宋_GB2312" w:cs="仿宋_GB2312"/>
          <w:b w:val="0"/>
          <w:bCs/>
          <w:kern w:val="0"/>
          <w:sz w:val="32"/>
          <w:szCs w:val="32"/>
        </w:rPr>
        <w:t>计</w:t>
      </w:r>
      <w:r>
        <w:rPr>
          <w:rFonts w:hint="eastAsia" w:ascii="仿宋_GB2312" w:eastAsia="仿宋_GB2312" w:cs="仿宋_GB2312"/>
          <w:b w:val="0"/>
          <w:bCs/>
          <w:kern w:val="0"/>
          <w:sz w:val="32"/>
          <w:szCs w:val="32"/>
          <w:lang w:val="en-US" w:eastAsia="zh-CN"/>
        </w:rPr>
        <w:t>1418.32</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1418.32</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100%</w:t>
      </w:r>
      <w:r>
        <w:rPr>
          <w:rFonts w:hint="eastAsia" w:ascii="仿宋_GB2312" w:eastAsia="仿宋_GB2312" w:cs="仿宋_GB2312"/>
          <w:b w:val="0"/>
          <w:bCs/>
          <w:kern w:val="0"/>
          <w:sz w:val="32"/>
          <w:szCs w:val="32"/>
        </w:rPr>
        <w:t> ；</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0万元；</w:t>
      </w:r>
      <w:r>
        <w:rPr>
          <w:rFonts w:hint="eastAsia" w:ascii="仿宋_GB2312" w:eastAsia="仿宋_GB2312" w:cs="仿宋_GB2312"/>
          <w:b w:val="0"/>
          <w:bCs/>
          <w:kern w:val="0"/>
          <w:sz w:val="32"/>
          <w:szCs w:val="32"/>
        </w:rPr>
        <w:t>上级补助收入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万元；事业收入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万元；事业单位经营收入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万元；其他收入</w:t>
      </w:r>
      <w:r>
        <w:rPr>
          <w:rFonts w:hint="eastAsia" w:ascii="仿宋_GB2312" w:eastAsia="仿宋_GB2312" w:cs="仿宋_GB2312"/>
          <w:b w:val="0"/>
          <w:bCs/>
          <w:kern w:val="0"/>
          <w:sz w:val="32"/>
          <w:szCs w:val="32"/>
          <w:lang w:val="en-US" w:eastAsia="zh-CN"/>
        </w:rPr>
        <w:t>0</w:t>
      </w:r>
      <w:r>
        <w:rPr>
          <w:rFonts w:hint="eastAsia" w:ascii="仿宋_GB2312" w:eastAsia="仿宋_GB2312" w:cs="仿宋_GB2312"/>
          <w:b w:val="0"/>
          <w:bCs/>
          <w:kern w:val="0"/>
          <w:sz w:val="32"/>
          <w:szCs w:val="32"/>
        </w:rPr>
        <w:t>万元。</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1192.72</w:t>
      </w:r>
      <w:r>
        <w:rPr>
          <w:rFonts w:hint="eastAsia" w:ascii="仿宋_GB2312" w:eastAsia="仿宋_GB2312" w:cs="仿宋_GB2312"/>
          <w:b w:val="0"/>
          <w:bCs/>
          <w:kern w:val="0"/>
          <w:sz w:val="32"/>
          <w:szCs w:val="32"/>
        </w:rPr>
        <w:t>万元，其中：基本支出</w:t>
      </w:r>
      <w:r>
        <w:rPr>
          <w:rFonts w:hint="eastAsia" w:ascii="仿宋_GB2312" w:eastAsia="仿宋_GB2312" w:cs="仿宋_GB2312"/>
          <w:b w:val="0"/>
          <w:bCs/>
          <w:kern w:val="0"/>
          <w:sz w:val="32"/>
          <w:szCs w:val="32"/>
          <w:lang w:val="en-US" w:eastAsia="zh-CN"/>
        </w:rPr>
        <w:t>692.79</w:t>
      </w:r>
      <w:r>
        <w:rPr>
          <w:rFonts w:hint="eastAsia" w:ascii="仿宋_GB2312" w:eastAsia="仿宋_GB2312" w:cs="仿宋_GB2312"/>
          <w:b w:val="0"/>
          <w:bCs/>
          <w:kern w:val="0"/>
          <w:sz w:val="32"/>
          <w:szCs w:val="32"/>
        </w:rPr>
        <w:t xml:space="preserve">万元，占 </w:t>
      </w:r>
      <w:r>
        <w:rPr>
          <w:rFonts w:hint="eastAsia" w:ascii="仿宋_GB2312" w:eastAsia="仿宋_GB2312" w:cs="仿宋_GB2312"/>
          <w:b w:val="0"/>
          <w:bCs/>
          <w:kern w:val="0"/>
          <w:sz w:val="32"/>
          <w:szCs w:val="32"/>
          <w:lang w:val="en-US" w:eastAsia="zh-CN"/>
        </w:rPr>
        <w:t>58.08</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499.93</w:t>
      </w:r>
      <w:r>
        <w:rPr>
          <w:rFonts w:hint="eastAsia" w:ascii="仿宋_GB2312" w:eastAsia="仿宋_GB2312" w:cs="仿宋_GB2312"/>
          <w:b w:val="0"/>
          <w:bCs/>
          <w:kern w:val="0"/>
          <w:sz w:val="32"/>
          <w:szCs w:val="32"/>
        </w:rPr>
        <w:t>万元</w:t>
      </w: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rPr>
        <w:t>占</w:t>
      </w:r>
      <w:r>
        <w:rPr>
          <w:rFonts w:hint="eastAsia" w:ascii="仿宋_GB2312" w:eastAsia="仿宋_GB2312" w:cs="仿宋_GB2312"/>
          <w:b w:val="0"/>
          <w:bCs/>
          <w:kern w:val="0"/>
          <w:sz w:val="32"/>
          <w:szCs w:val="32"/>
          <w:lang w:val="en-US" w:eastAsia="zh-CN"/>
        </w:rPr>
        <w:t>41.92</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年度财政拨款收、支总决算</w:t>
      </w:r>
      <w:r>
        <w:rPr>
          <w:rFonts w:hint="eastAsia" w:ascii="仿宋_GB2312" w:eastAsia="仿宋_GB2312" w:cs="仿宋_GB2312"/>
          <w:bCs/>
          <w:kern w:val="0"/>
          <w:sz w:val="32"/>
          <w:szCs w:val="32"/>
          <w:lang w:val="en-US" w:eastAsia="zh-CN"/>
        </w:rPr>
        <w:t>1548.10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1548.10</w:t>
      </w:r>
      <w:r>
        <w:rPr>
          <w:rFonts w:hint="eastAsia" w:ascii="仿宋_GB2312" w:eastAsia="仿宋_GB2312" w:cs="仿宋_GB2312"/>
          <w:bCs/>
          <w:kern w:val="0"/>
          <w:sz w:val="32"/>
          <w:szCs w:val="32"/>
        </w:rPr>
        <w:t>万元。与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年相比，财政拨款收、支总计各增加</w:t>
      </w:r>
      <w:r>
        <w:rPr>
          <w:rFonts w:hint="eastAsia" w:ascii="仿宋_GB2312" w:eastAsia="仿宋_GB2312" w:cs="仿宋_GB2312"/>
          <w:bCs/>
          <w:kern w:val="0"/>
          <w:sz w:val="32"/>
          <w:szCs w:val="32"/>
          <w:lang w:val="en-US" w:eastAsia="zh-CN"/>
        </w:rPr>
        <w:t>351.56</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29.38</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lang w:val="en-US" w:eastAsia="zh-CN"/>
        </w:rPr>
        <w:t>增长原因为机构改革后，侨务人员及项目经费划归我部管理。</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1192.72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占本年支出</w:t>
      </w:r>
      <w:r>
        <w:rPr>
          <w:rFonts w:hint="eastAsia" w:ascii="仿宋_GB2312" w:eastAsia="仿宋_GB2312" w:cs="仿宋_GB2312"/>
          <w:bCs/>
          <w:kern w:val="0"/>
          <w:sz w:val="32"/>
          <w:szCs w:val="32"/>
          <w:lang w:eastAsia="zh-CN"/>
        </w:rPr>
        <w:t>总</w:t>
      </w:r>
      <w:r>
        <w:rPr>
          <w:rFonts w:hint="eastAsia" w:ascii="仿宋_GB2312" w:eastAsia="仿宋_GB2312" w:cs="仿宋_GB2312"/>
          <w:bCs/>
          <w:kern w:val="0"/>
          <w:sz w:val="32"/>
          <w:szCs w:val="32"/>
        </w:rPr>
        <w:t>计的</w:t>
      </w:r>
      <w:r>
        <w:rPr>
          <w:rFonts w:hint="eastAsia" w:ascii="仿宋_GB2312" w:eastAsia="仿宋_GB2312" w:cs="仿宋_GB2312"/>
          <w:bCs/>
          <w:kern w:val="0"/>
          <w:sz w:val="32"/>
          <w:szCs w:val="32"/>
          <w:lang w:val="en-US" w:eastAsia="zh-CN"/>
        </w:rPr>
        <w:t>77.04</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73.08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6.53</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lang w:val="en-US" w:eastAsia="zh-CN"/>
        </w:rPr>
        <w:t>增长原因为机构改革后，侨务人员及项目经费划归我部管理。</w:t>
      </w:r>
      <w:bookmarkStart w:id="0" w:name="_GoBack"/>
      <w:bookmarkEnd w:id="0"/>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年度财政拨款支出 </w:t>
      </w:r>
      <w:r>
        <w:rPr>
          <w:rFonts w:hint="eastAsia" w:ascii="仿宋_GB2312" w:eastAsia="仿宋_GB2312" w:cs="仿宋_GB2312"/>
          <w:bCs/>
          <w:kern w:val="0"/>
          <w:sz w:val="32"/>
          <w:szCs w:val="32"/>
          <w:lang w:val="en-US" w:eastAsia="zh-CN"/>
        </w:rPr>
        <w:t>1192.72</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983.18</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82.43</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96.64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8.10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66.93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5.61</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45.97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3.85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975.53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1192.72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122.26</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追加</w:t>
      </w:r>
      <w:r>
        <w:rPr>
          <w:rFonts w:hint="eastAsia" w:ascii="仿宋_GB2312" w:eastAsia="仿宋_GB2312" w:cs="仿宋_GB2312"/>
          <w:bCs/>
          <w:kern w:val="0"/>
          <w:sz w:val="32"/>
          <w:szCs w:val="32"/>
          <w:lang w:val="en-US" w:eastAsia="zh-CN"/>
        </w:rPr>
        <w:t>2019年招商引资专项经费，第一批“双十佳”非公有制企业奖励资金等</w:t>
      </w:r>
      <w:r>
        <w:rPr>
          <w:rFonts w:hint="eastAsia" w:ascii="仿宋_GB2312" w:eastAsia="仿宋_GB2312" w:cs="仿宋_GB2312"/>
          <w:bCs/>
          <w:kern w:val="0"/>
          <w:sz w:val="32"/>
          <w:szCs w:val="32"/>
        </w:rPr>
        <w:t>；二是部分支出按规定，通过使用以前年度财政拨款结转资金解决。其中：</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val="en-US" w:eastAsia="zh-CN"/>
        </w:rPr>
        <w:t>2011308</w:t>
      </w:r>
      <w:r>
        <w:rPr>
          <w:rFonts w:hint="eastAsia" w:ascii="仿宋_GB2312" w:eastAsia="仿宋_GB2312" w:cs="仿宋_GB2312"/>
          <w:bCs/>
          <w:kern w:val="0"/>
          <w:sz w:val="32"/>
          <w:szCs w:val="32"/>
          <w:lang w:eastAsia="zh-CN"/>
        </w:rPr>
        <w:t>招商引资，</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26.44</w:t>
      </w:r>
      <w:r>
        <w:rPr>
          <w:rFonts w:hint="eastAsia" w:ascii="仿宋_GB2312" w:eastAsia="仿宋_GB2312" w:cs="仿宋_GB2312"/>
          <w:bCs/>
          <w:kern w:val="0"/>
          <w:sz w:val="32"/>
          <w:szCs w:val="32"/>
        </w:rPr>
        <w:t>万元，完成年初预算的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，主要原因是年中追加了</w:t>
      </w:r>
      <w:r>
        <w:rPr>
          <w:rFonts w:hint="eastAsia" w:ascii="仿宋_GB2312" w:eastAsia="仿宋_GB2312" w:cs="仿宋_GB2312"/>
          <w:bCs/>
          <w:kern w:val="0"/>
          <w:sz w:val="32"/>
          <w:szCs w:val="32"/>
          <w:lang w:val="en-US" w:eastAsia="zh-CN"/>
        </w:rPr>
        <w:t>2019年招商引资专项经费26.44万元</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2012501</w:t>
      </w:r>
      <w:r>
        <w:rPr>
          <w:rFonts w:hint="eastAsia" w:ascii="仿宋_GB2312" w:eastAsia="仿宋_GB2312" w:cs="仿宋_GB2312"/>
          <w:bCs/>
          <w:kern w:val="0"/>
          <w:sz w:val="32"/>
          <w:szCs w:val="32"/>
          <w:lang w:eastAsia="zh-CN"/>
        </w:rPr>
        <w:t>港澳台事务行政运行，年初预算为</w:t>
      </w:r>
      <w:r>
        <w:rPr>
          <w:rFonts w:hint="eastAsia" w:ascii="仿宋_GB2312" w:eastAsia="仿宋_GB2312" w:cs="仿宋_GB2312"/>
          <w:bCs/>
          <w:kern w:val="0"/>
          <w:sz w:val="32"/>
          <w:szCs w:val="32"/>
          <w:lang w:val="en-US" w:eastAsia="zh-CN"/>
        </w:rPr>
        <w:t>22.03万元，支出决算为26.26</w:t>
      </w:r>
      <w:r>
        <w:rPr>
          <w:rFonts w:hint="eastAsia" w:ascii="仿宋_GB2312" w:eastAsia="仿宋_GB2312" w:cs="仿宋_GB2312"/>
          <w:bCs/>
          <w:kern w:val="0"/>
          <w:sz w:val="32"/>
          <w:szCs w:val="32"/>
        </w:rPr>
        <w:t>万元，为年</w:t>
      </w:r>
      <w:r>
        <w:rPr>
          <w:rFonts w:hint="eastAsia" w:ascii="仿宋_GB2312" w:eastAsia="仿宋_GB2312" w:cs="仿宋_GB2312"/>
          <w:bCs/>
          <w:kern w:val="0"/>
          <w:sz w:val="32"/>
          <w:szCs w:val="32"/>
          <w:lang w:eastAsia="zh-CN"/>
        </w:rPr>
        <w:t>初</w:t>
      </w:r>
      <w:r>
        <w:rPr>
          <w:rFonts w:hint="eastAsia" w:ascii="仿宋_GB2312" w:eastAsia="仿宋_GB2312" w:cs="仿宋_GB2312"/>
          <w:bCs/>
          <w:kern w:val="0"/>
          <w:sz w:val="32"/>
          <w:szCs w:val="32"/>
        </w:rPr>
        <w:t>预算</w:t>
      </w:r>
      <w:r>
        <w:rPr>
          <w:rFonts w:hint="eastAsia" w:ascii="仿宋_GB2312" w:eastAsia="仿宋_GB2312" w:cs="仿宋_GB2312"/>
          <w:bCs/>
          <w:kern w:val="0"/>
          <w:sz w:val="32"/>
          <w:szCs w:val="32"/>
          <w:lang w:val="en-US" w:eastAsia="zh-CN"/>
        </w:rPr>
        <w:t>119.20</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补发市台联</w:t>
      </w:r>
      <w:r>
        <w:rPr>
          <w:rFonts w:hint="eastAsia" w:ascii="仿宋_GB2312" w:eastAsia="仿宋_GB2312" w:cs="仿宋_GB2312"/>
          <w:bCs/>
          <w:kern w:val="0"/>
          <w:sz w:val="32"/>
          <w:szCs w:val="32"/>
          <w:lang w:val="en-US" w:eastAsia="zh-CN"/>
        </w:rPr>
        <w:t>2018年</w:t>
      </w:r>
      <w:r>
        <w:rPr>
          <w:rFonts w:hint="eastAsia" w:ascii="仿宋_GB2312" w:eastAsia="仿宋_GB2312" w:cs="仿宋_GB2312"/>
          <w:bCs/>
          <w:kern w:val="0"/>
          <w:sz w:val="32"/>
          <w:szCs w:val="32"/>
          <w:lang w:eastAsia="zh-CN"/>
        </w:rPr>
        <w:t>绩效奖励。</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2012505</w:t>
      </w:r>
      <w:r>
        <w:rPr>
          <w:rFonts w:hint="eastAsia" w:ascii="仿宋_GB2312" w:eastAsia="仿宋_GB2312" w:cs="仿宋_GB2312"/>
          <w:bCs/>
          <w:kern w:val="0"/>
          <w:sz w:val="32"/>
          <w:szCs w:val="32"/>
          <w:lang w:eastAsia="zh-CN"/>
        </w:rPr>
        <w:t>台湾事务，年初预算数为</w:t>
      </w:r>
      <w:r>
        <w:rPr>
          <w:rFonts w:hint="eastAsia" w:ascii="仿宋_GB2312" w:eastAsia="仿宋_GB2312" w:cs="仿宋_GB2312"/>
          <w:bCs/>
          <w:kern w:val="0"/>
          <w:sz w:val="32"/>
          <w:szCs w:val="32"/>
          <w:lang w:val="en-US" w:eastAsia="zh-CN"/>
        </w:rPr>
        <w:t>92.23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，支出决算为</w:t>
      </w:r>
      <w:r>
        <w:rPr>
          <w:rFonts w:hint="eastAsia" w:ascii="仿宋_GB2312" w:eastAsia="仿宋_GB2312" w:cs="仿宋_GB2312"/>
          <w:bCs/>
          <w:kern w:val="0"/>
          <w:sz w:val="32"/>
          <w:szCs w:val="32"/>
          <w:lang w:val="en-US" w:eastAsia="zh-CN"/>
        </w:rPr>
        <w:t>39.72</w:t>
      </w:r>
      <w:r>
        <w:rPr>
          <w:rFonts w:hint="eastAsia" w:ascii="仿宋_GB2312" w:eastAsia="仿宋_GB2312" w:cs="仿宋_GB2312"/>
          <w:bCs/>
          <w:kern w:val="0"/>
          <w:sz w:val="32"/>
          <w:szCs w:val="32"/>
        </w:rPr>
        <w:t>万元，为年</w:t>
      </w:r>
      <w:r>
        <w:rPr>
          <w:rFonts w:hint="eastAsia" w:ascii="仿宋_GB2312" w:eastAsia="仿宋_GB2312" w:cs="仿宋_GB2312"/>
          <w:bCs/>
          <w:kern w:val="0"/>
          <w:sz w:val="32"/>
          <w:szCs w:val="32"/>
          <w:lang w:eastAsia="zh-CN"/>
        </w:rPr>
        <w:t>初</w:t>
      </w:r>
      <w:r>
        <w:rPr>
          <w:rFonts w:hint="eastAsia" w:ascii="仿宋_GB2312" w:eastAsia="仿宋_GB2312" w:cs="仿宋_GB2312"/>
          <w:bCs/>
          <w:kern w:val="0"/>
          <w:sz w:val="32"/>
          <w:szCs w:val="32"/>
        </w:rPr>
        <w:t>预算的</w:t>
      </w:r>
      <w:r>
        <w:rPr>
          <w:rFonts w:hint="eastAsia" w:ascii="仿宋_GB2312" w:eastAsia="仿宋_GB2312" w:cs="仿宋_GB2312"/>
          <w:bCs/>
          <w:kern w:val="0"/>
          <w:sz w:val="32"/>
          <w:szCs w:val="32"/>
          <w:lang w:val="en-US" w:eastAsia="zh-CN"/>
        </w:rPr>
        <w:t>43.06</w:t>
      </w:r>
      <w:r>
        <w:rPr>
          <w:rFonts w:hint="eastAsia" w:ascii="仿宋_GB2312" w:eastAsia="仿宋_GB2312" w:cs="仿宋_GB2312"/>
          <w:bCs/>
          <w:kern w:val="0"/>
          <w:sz w:val="32"/>
          <w:szCs w:val="32"/>
        </w:rPr>
        <w:t>%。决算数与年度预算数存在差异原因如下：因客观条件发生变化无法按原计划实施</w:t>
      </w:r>
      <w:r>
        <w:rPr>
          <w:rFonts w:hint="eastAsia" w:ascii="仿宋_GB2312" w:eastAsia="仿宋_GB2312" w:cs="仿宋_GB2312"/>
          <w:bCs/>
          <w:kern w:val="0"/>
          <w:sz w:val="32"/>
          <w:szCs w:val="32"/>
          <w:lang w:eastAsia="zh-CN"/>
        </w:rPr>
        <w:t>项目</w:t>
      </w:r>
      <w:r>
        <w:rPr>
          <w:rFonts w:hint="eastAsia" w:ascii="仿宋_GB2312" w:eastAsia="仿宋_GB2312" w:cs="仿宋_GB2312"/>
          <w:bCs/>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2013401</w:t>
      </w:r>
      <w:r>
        <w:rPr>
          <w:rFonts w:hint="eastAsia" w:ascii="仿宋_GB2312" w:eastAsia="仿宋_GB2312" w:cs="仿宋_GB2312"/>
          <w:bCs/>
          <w:kern w:val="0"/>
          <w:sz w:val="32"/>
          <w:szCs w:val="32"/>
          <w:lang w:eastAsia="zh-CN"/>
        </w:rPr>
        <w:t>统战事务行政运行，年初</w:t>
      </w:r>
      <w:r>
        <w:rPr>
          <w:rFonts w:hint="eastAsia" w:ascii="仿宋_GB2312" w:eastAsia="仿宋_GB2312" w:cs="仿宋_GB2312"/>
          <w:bCs/>
          <w:kern w:val="0"/>
          <w:sz w:val="32"/>
          <w:szCs w:val="32"/>
        </w:rPr>
        <w:t>预算</w:t>
      </w:r>
      <w:r>
        <w:rPr>
          <w:rFonts w:hint="eastAsia" w:ascii="仿宋_GB2312" w:eastAsia="仿宋_GB2312" w:cs="仿宋_GB2312"/>
          <w:bCs/>
          <w:kern w:val="0"/>
          <w:sz w:val="32"/>
          <w:szCs w:val="32"/>
          <w:lang w:val="en-US" w:eastAsia="zh-CN"/>
        </w:rPr>
        <w:t>308.83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，支出决算</w:t>
      </w:r>
      <w:r>
        <w:rPr>
          <w:rFonts w:hint="eastAsia" w:ascii="仿宋_GB2312" w:eastAsia="仿宋_GB2312" w:cs="仿宋_GB2312"/>
          <w:bCs/>
          <w:kern w:val="0"/>
          <w:sz w:val="32"/>
          <w:szCs w:val="32"/>
          <w:lang w:val="en-US" w:eastAsia="zh-CN"/>
        </w:rPr>
        <w:t>389.58</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126.15</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补发市委统战部</w:t>
      </w:r>
      <w:r>
        <w:rPr>
          <w:rFonts w:hint="eastAsia" w:ascii="仿宋_GB2312" w:eastAsia="仿宋_GB2312" w:cs="仿宋_GB2312"/>
          <w:bCs/>
          <w:kern w:val="0"/>
          <w:sz w:val="32"/>
          <w:szCs w:val="32"/>
          <w:lang w:val="en-US" w:eastAsia="zh-CN"/>
        </w:rPr>
        <w:t>2018年绩效奖励，机构改革后市侨办人员及公用经费划入统战部</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2013402</w:t>
      </w:r>
      <w:r>
        <w:rPr>
          <w:rFonts w:hint="eastAsia" w:ascii="仿宋_GB2312" w:eastAsia="仿宋_GB2312" w:cs="仿宋_GB2312"/>
          <w:bCs/>
          <w:kern w:val="0"/>
          <w:sz w:val="32"/>
          <w:szCs w:val="32"/>
          <w:lang w:eastAsia="zh-CN"/>
        </w:rPr>
        <w:t>一般行政管理事务，年初预算数</w:t>
      </w:r>
      <w:r>
        <w:rPr>
          <w:rFonts w:hint="eastAsia" w:ascii="仿宋_GB2312" w:eastAsia="仿宋_GB2312" w:cs="仿宋_GB2312"/>
          <w:bCs/>
          <w:kern w:val="0"/>
          <w:sz w:val="32"/>
          <w:szCs w:val="32"/>
          <w:lang w:val="en-US" w:eastAsia="zh-CN"/>
        </w:rPr>
        <w:t>272.44万元，支出决算331.46</w:t>
      </w:r>
      <w:r>
        <w:rPr>
          <w:rFonts w:hint="eastAsia" w:ascii="仿宋_GB2312" w:eastAsia="仿宋_GB2312" w:cs="仿宋_GB2312"/>
          <w:bCs/>
          <w:kern w:val="0"/>
          <w:sz w:val="32"/>
          <w:szCs w:val="32"/>
        </w:rPr>
        <w:t>万元，为年</w:t>
      </w:r>
      <w:r>
        <w:rPr>
          <w:rFonts w:hint="eastAsia" w:ascii="仿宋_GB2312" w:eastAsia="仿宋_GB2312" w:cs="仿宋_GB2312"/>
          <w:bCs/>
          <w:kern w:val="0"/>
          <w:sz w:val="32"/>
          <w:szCs w:val="32"/>
          <w:lang w:eastAsia="zh-CN"/>
        </w:rPr>
        <w:t>初</w:t>
      </w:r>
      <w:r>
        <w:rPr>
          <w:rFonts w:hint="eastAsia" w:ascii="仿宋_GB2312" w:eastAsia="仿宋_GB2312" w:cs="仿宋_GB2312"/>
          <w:bCs/>
          <w:kern w:val="0"/>
          <w:sz w:val="32"/>
          <w:szCs w:val="32"/>
        </w:rPr>
        <w:t>预算</w:t>
      </w:r>
      <w:r>
        <w:rPr>
          <w:rFonts w:hint="eastAsia" w:ascii="仿宋_GB2312" w:eastAsia="仿宋_GB2312" w:cs="仿宋_GB2312"/>
          <w:bCs/>
          <w:kern w:val="0"/>
          <w:sz w:val="32"/>
          <w:szCs w:val="32"/>
          <w:lang w:val="en-US" w:eastAsia="zh-CN"/>
        </w:rPr>
        <w:t>121.66</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动用了上年项目结转经费。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2013405</w:t>
      </w:r>
      <w:r>
        <w:rPr>
          <w:rFonts w:hint="eastAsia" w:ascii="仿宋_GB2312" w:eastAsia="仿宋_GB2312" w:cs="仿宋_GB2312"/>
          <w:bCs/>
          <w:kern w:val="0"/>
          <w:sz w:val="32"/>
          <w:szCs w:val="32"/>
          <w:lang w:eastAsia="zh-CN"/>
        </w:rPr>
        <w:t>华侨事务</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初</w:t>
      </w:r>
      <w:r>
        <w:rPr>
          <w:rFonts w:hint="eastAsia" w:ascii="仿宋_GB2312" w:eastAsia="仿宋_GB2312" w:cs="仿宋_GB2312"/>
          <w:bCs/>
          <w:kern w:val="0"/>
          <w:sz w:val="32"/>
          <w:szCs w:val="32"/>
        </w:rPr>
        <w:t>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，支出决算</w:t>
      </w:r>
      <w:r>
        <w:rPr>
          <w:rFonts w:hint="eastAsia" w:ascii="仿宋_GB2312" w:eastAsia="仿宋_GB2312" w:cs="仿宋_GB2312"/>
          <w:bCs/>
          <w:kern w:val="0"/>
          <w:sz w:val="32"/>
          <w:szCs w:val="32"/>
        </w:rPr>
        <w:t>为</w:t>
      </w:r>
      <w:r>
        <w:rPr>
          <w:rFonts w:hint="eastAsia" w:ascii="仿宋_GB2312" w:eastAsia="仿宋_GB2312" w:cs="仿宋_GB2312"/>
          <w:bCs/>
          <w:kern w:val="0"/>
          <w:sz w:val="32"/>
          <w:szCs w:val="32"/>
          <w:lang w:val="en-US" w:eastAsia="zh-CN"/>
        </w:rPr>
        <w:t>85.94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初</w:t>
      </w:r>
      <w:r>
        <w:rPr>
          <w:rFonts w:hint="eastAsia" w:ascii="仿宋_GB2312" w:eastAsia="仿宋_GB2312" w:cs="仿宋_GB2312"/>
          <w:bCs/>
          <w:kern w:val="0"/>
          <w:sz w:val="32"/>
          <w:szCs w:val="32"/>
        </w:rPr>
        <w:t>预算的</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100</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机构改革后，市侨办项目经费划入统战部。</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2013450</w:t>
      </w:r>
      <w:r>
        <w:rPr>
          <w:rFonts w:hint="eastAsia" w:ascii="仿宋_GB2312" w:eastAsia="仿宋_GB2312" w:cs="仿宋_GB2312"/>
          <w:bCs/>
          <w:kern w:val="0"/>
          <w:sz w:val="32"/>
          <w:szCs w:val="32"/>
          <w:lang w:eastAsia="zh-CN"/>
        </w:rPr>
        <w:t>统战事务事业运行，</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初预算</w:t>
      </w:r>
      <w:r>
        <w:rPr>
          <w:rFonts w:hint="eastAsia" w:ascii="仿宋_GB2312" w:eastAsia="仿宋_GB2312" w:cs="仿宋_GB2312"/>
          <w:bCs/>
          <w:kern w:val="0"/>
          <w:sz w:val="32"/>
          <w:szCs w:val="32"/>
          <w:lang w:val="en-US" w:eastAsia="zh-CN"/>
        </w:rPr>
        <w:t>46.49万元，</w:t>
      </w:r>
      <w:r>
        <w:rPr>
          <w:rFonts w:hint="eastAsia" w:ascii="仿宋_GB2312" w:eastAsia="仿宋_GB2312" w:cs="仿宋_GB2312"/>
          <w:bCs/>
          <w:kern w:val="0"/>
          <w:sz w:val="32"/>
          <w:szCs w:val="32"/>
          <w:lang w:eastAsia="zh-CN"/>
        </w:rPr>
        <w:t>支出决算为</w:t>
      </w:r>
      <w:r>
        <w:rPr>
          <w:rFonts w:hint="eastAsia" w:ascii="仿宋_GB2312" w:eastAsia="仿宋_GB2312" w:cs="仿宋_GB2312"/>
          <w:bCs/>
          <w:kern w:val="0"/>
          <w:sz w:val="32"/>
          <w:szCs w:val="32"/>
          <w:lang w:val="en-US" w:eastAsia="zh-CN"/>
        </w:rPr>
        <w:t>67.41</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144.99</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2018年</w:t>
      </w:r>
      <w:r>
        <w:rPr>
          <w:rFonts w:hint="eastAsia" w:ascii="仿宋_GB2312" w:eastAsia="仿宋_GB2312" w:cs="仿宋_GB2312"/>
          <w:bCs/>
          <w:kern w:val="0"/>
          <w:sz w:val="32"/>
          <w:szCs w:val="32"/>
          <w:lang w:eastAsia="zh-CN"/>
        </w:rPr>
        <w:t>非公中心绩效工资总量补差额。</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一般公共服务</w:t>
      </w:r>
      <w:r>
        <w:rPr>
          <w:rFonts w:hint="eastAsia" w:ascii="仿宋_GB2312" w:eastAsia="仿宋_GB2312" w:cs="仿宋_GB2312"/>
          <w:bCs/>
          <w:kern w:val="0"/>
          <w:sz w:val="32"/>
          <w:szCs w:val="32"/>
          <w:lang w:val="en-US" w:eastAsia="zh-CN"/>
        </w:rPr>
        <w:t>2013499</w:t>
      </w:r>
      <w:r>
        <w:rPr>
          <w:rFonts w:hint="eastAsia" w:ascii="仿宋_GB2312" w:eastAsia="仿宋_GB2312" w:cs="仿宋_GB2312"/>
          <w:bCs/>
          <w:kern w:val="0"/>
          <w:sz w:val="32"/>
          <w:szCs w:val="32"/>
          <w:lang w:eastAsia="zh-CN"/>
        </w:rPr>
        <w:t>其他统战事务支出，年初预算</w:t>
      </w:r>
      <w:r>
        <w:rPr>
          <w:rFonts w:hint="eastAsia" w:ascii="仿宋_GB2312" w:eastAsia="仿宋_GB2312" w:cs="仿宋_GB2312"/>
          <w:bCs/>
          <w:kern w:val="0"/>
          <w:sz w:val="32"/>
          <w:szCs w:val="32"/>
          <w:lang w:val="en-US" w:eastAsia="zh-CN"/>
        </w:rPr>
        <w:t>28万元，支出决算为16.37</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58.46</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项目经费未支付完。</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lang w:val="en-US" w:eastAsia="zh-CN"/>
        </w:rPr>
        <w:t>2080501</w:t>
      </w:r>
      <w:r>
        <w:rPr>
          <w:rFonts w:hint="eastAsia" w:ascii="仿宋_GB2312" w:eastAsia="仿宋_GB2312" w:cs="仿宋_GB2312"/>
          <w:bCs/>
          <w:kern w:val="0"/>
          <w:sz w:val="32"/>
          <w:szCs w:val="32"/>
        </w:rPr>
        <w:t>归口管理的行政单位离退休</w:t>
      </w:r>
      <w:r>
        <w:rPr>
          <w:rFonts w:hint="eastAsia" w:ascii="仿宋_GB2312" w:eastAsia="仿宋_GB2312" w:cs="仿宋_GB2312"/>
          <w:bCs/>
          <w:kern w:val="0"/>
          <w:sz w:val="32"/>
          <w:szCs w:val="32"/>
          <w:lang w:eastAsia="zh-CN"/>
        </w:rPr>
        <w:t>，年初预算</w:t>
      </w:r>
      <w:r>
        <w:rPr>
          <w:rFonts w:hint="eastAsia" w:ascii="仿宋_GB2312" w:eastAsia="仿宋_GB2312" w:cs="仿宋_GB2312"/>
          <w:bCs/>
          <w:kern w:val="0"/>
          <w:sz w:val="32"/>
          <w:szCs w:val="32"/>
          <w:lang w:val="en-US" w:eastAsia="zh-CN"/>
        </w:rPr>
        <w:t>31.08万元，支出决算为32.66</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105.08</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动用上年结转经费。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lang w:val="en-US" w:eastAsia="zh-CN"/>
        </w:rPr>
        <w:t>2080505</w:t>
      </w:r>
      <w:r>
        <w:rPr>
          <w:rFonts w:hint="eastAsia" w:ascii="仿宋_GB2312" w:eastAsia="仿宋_GB2312" w:cs="仿宋_GB2312"/>
          <w:bCs/>
          <w:kern w:val="0"/>
          <w:sz w:val="32"/>
          <w:szCs w:val="32"/>
        </w:rPr>
        <w:t>机关事业单位基本养老保险缴费</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71.08万元，支出决算为63.97</w:t>
      </w:r>
      <w:r>
        <w:rPr>
          <w:rFonts w:hint="eastAsia" w:ascii="仿宋_GB2312" w:eastAsia="仿宋_GB2312" w:cs="仿宋_GB2312"/>
          <w:bCs/>
          <w:kern w:val="0"/>
          <w:sz w:val="32"/>
          <w:szCs w:val="32"/>
        </w:rPr>
        <w:t>万元，为年</w:t>
      </w:r>
      <w:r>
        <w:rPr>
          <w:rFonts w:hint="eastAsia" w:ascii="仿宋_GB2312" w:eastAsia="仿宋_GB2312" w:cs="仿宋_GB2312"/>
          <w:bCs/>
          <w:kern w:val="0"/>
          <w:sz w:val="32"/>
          <w:szCs w:val="32"/>
          <w:lang w:eastAsia="zh-CN"/>
        </w:rPr>
        <w:t>初</w:t>
      </w:r>
      <w:r>
        <w:rPr>
          <w:rFonts w:hint="eastAsia" w:ascii="仿宋_GB2312" w:eastAsia="仿宋_GB2312" w:cs="仿宋_GB2312"/>
          <w:bCs/>
          <w:kern w:val="0"/>
          <w:sz w:val="32"/>
          <w:szCs w:val="32"/>
        </w:rPr>
        <w:t>预算的</w:t>
      </w:r>
      <w:r>
        <w:rPr>
          <w:rFonts w:hint="eastAsia" w:ascii="仿宋_GB2312" w:eastAsia="仿宋_GB2312" w:cs="仿宋_GB2312"/>
          <w:bCs/>
          <w:kern w:val="0"/>
          <w:sz w:val="32"/>
          <w:szCs w:val="32"/>
          <w:lang w:val="en-US" w:eastAsia="zh-CN"/>
        </w:rPr>
        <w:t>89.99</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核减机关事业单位基本养老保险缴费。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lang w:val="en-US" w:eastAsia="zh-CN"/>
        </w:rPr>
        <w:t>2101101</w:t>
      </w:r>
      <w:r>
        <w:rPr>
          <w:rFonts w:hint="eastAsia" w:ascii="仿宋_GB2312" w:eastAsia="仿宋_GB2312" w:cs="仿宋_GB2312"/>
          <w:bCs/>
          <w:kern w:val="0"/>
          <w:sz w:val="32"/>
          <w:szCs w:val="32"/>
        </w:rPr>
        <w:t>城镇职工基本医疗保险</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23.86万元，支出决算为24.88</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104.27</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动用了上年结转经费。</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lang w:val="en-US" w:eastAsia="zh-CN"/>
        </w:rPr>
        <w:t>2101102</w:t>
      </w:r>
      <w:r>
        <w:rPr>
          <w:rFonts w:hint="eastAsia" w:ascii="仿宋_GB2312" w:eastAsia="仿宋_GB2312" w:cs="仿宋_GB2312"/>
          <w:bCs/>
          <w:kern w:val="0"/>
          <w:sz w:val="32"/>
          <w:szCs w:val="32"/>
        </w:rPr>
        <w:t>事业单位医疗</w:t>
      </w:r>
      <w:r>
        <w:rPr>
          <w:rFonts w:hint="eastAsia" w:ascii="仿宋_GB2312" w:eastAsia="仿宋_GB2312" w:cs="仿宋_GB2312"/>
          <w:bCs/>
          <w:kern w:val="0"/>
          <w:sz w:val="32"/>
          <w:szCs w:val="32"/>
          <w:lang w:eastAsia="zh-CN"/>
        </w:rPr>
        <w:t>，年初预算</w:t>
      </w:r>
      <w:r>
        <w:rPr>
          <w:rFonts w:hint="eastAsia" w:ascii="仿宋_GB2312" w:eastAsia="仿宋_GB2312" w:cs="仿宋_GB2312"/>
          <w:bCs/>
          <w:kern w:val="0"/>
          <w:sz w:val="32"/>
          <w:szCs w:val="32"/>
          <w:lang w:val="en-US" w:eastAsia="zh-CN"/>
        </w:rPr>
        <w:t>2.84万元，支出决算为2.29</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80.63</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事业单位医疗缴费未支付完。</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lang w:val="en-US" w:eastAsia="zh-CN"/>
        </w:rPr>
        <w:t>2101103</w:t>
      </w:r>
      <w:r>
        <w:rPr>
          <w:rFonts w:hint="eastAsia" w:ascii="仿宋_GB2312" w:eastAsia="仿宋_GB2312" w:cs="仿宋_GB2312"/>
          <w:bCs/>
          <w:kern w:val="0"/>
          <w:sz w:val="32"/>
          <w:szCs w:val="32"/>
        </w:rPr>
        <w:t>公务员医疗补助</w:t>
      </w:r>
      <w:r>
        <w:rPr>
          <w:rFonts w:hint="eastAsia" w:ascii="仿宋_GB2312" w:eastAsia="仿宋_GB2312" w:cs="仿宋_GB2312"/>
          <w:bCs/>
          <w:kern w:val="0"/>
          <w:sz w:val="32"/>
          <w:szCs w:val="32"/>
          <w:lang w:eastAsia="zh-CN"/>
        </w:rPr>
        <w:t>，年初预算为</w:t>
      </w:r>
      <w:r>
        <w:rPr>
          <w:rFonts w:hint="eastAsia" w:ascii="仿宋_GB2312" w:eastAsia="仿宋_GB2312" w:cs="仿宋_GB2312"/>
          <w:bCs/>
          <w:kern w:val="0"/>
          <w:sz w:val="32"/>
          <w:szCs w:val="32"/>
          <w:lang w:val="en-US" w:eastAsia="zh-CN"/>
        </w:rPr>
        <w:t>34万元，支出决算为39.76</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116.94</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公务员医疗补助补差额。</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14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lang w:val="en-US" w:eastAsia="zh-CN"/>
        </w:rPr>
        <w:t>2210201</w:t>
      </w:r>
      <w:r>
        <w:rPr>
          <w:rFonts w:hint="eastAsia" w:ascii="仿宋_GB2312" w:eastAsia="仿宋_GB2312" w:cs="仿宋_GB2312"/>
          <w:bCs/>
          <w:kern w:val="0"/>
          <w:sz w:val="32"/>
          <w:szCs w:val="32"/>
          <w:lang w:eastAsia="zh-CN"/>
        </w:rPr>
        <w:t>住房公积金，年初预算</w:t>
      </w:r>
      <w:r>
        <w:rPr>
          <w:rFonts w:hint="eastAsia" w:ascii="仿宋_GB2312" w:eastAsia="仿宋_GB2312" w:cs="仿宋_GB2312"/>
          <w:bCs/>
          <w:kern w:val="0"/>
          <w:sz w:val="32"/>
          <w:szCs w:val="32"/>
          <w:lang w:val="en-US" w:eastAsia="zh-CN"/>
        </w:rPr>
        <w:t>42.65万元，支出决算为45.97</w:t>
      </w:r>
      <w:r>
        <w:rPr>
          <w:rFonts w:hint="eastAsia" w:ascii="仿宋_GB2312" w:eastAsia="仿宋_GB2312" w:cs="仿宋_GB2312"/>
          <w:bCs/>
          <w:kern w:val="0"/>
          <w:sz w:val="32"/>
          <w:szCs w:val="32"/>
        </w:rPr>
        <w:t>万元，为年度预算的</w:t>
      </w:r>
      <w:r>
        <w:rPr>
          <w:rFonts w:hint="eastAsia" w:ascii="仿宋_GB2312" w:eastAsia="仿宋_GB2312" w:cs="仿宋_GB2312"/>
          <w:bCs/>
          <w:kern w:val="0"/>
          <w:sz w:val="32"/>
          <w:szCs w:val="32"/>
          <w:lang w:val="en-US" w:eastAsia="zh-CN"/>
        </w:rPr>
        <w:t>107.78</w:t>
      </w:r>
      <w:r>
        <w:rPr>
          <w:rFonts w:hint="eastAsia" w:ascii="仿宋_GB2312" w:eastAsia="仿宋_GB2312" w:cs="仿宋_GB2312"/>
          <w:bCs/>
          <w:kern w:val="0"/>
          <w:sz w:val="32"/>
          <w:szCs w:val="32"/>
        </w:rPr>
        <w:t>%。决算数与年度预算数存在差异原因如下：</w:t>
      </w:r>
      <w:r>
        <w:rPr>
          <w:rFonts w:hint="eastAsia" w:ascii="仿宋_GB2312" w:eastAsia="仿宋_GB2312" w:cs="仿宋_GB2312"/>
          <w:bCs/>
          <w:kern w:val="0"/>
          <w:sz w:val="32"/>
          <w:szCs w:val="32"/>
          <w:lang w:eastAsia="zh-CN"/>
        </w:rPr>
        <w:t>公积金补差额。</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w:t>
      </w:r>
      <w:r>
        <w:rPr>
          <w:rFonts w:hint="eastAsia" w:ascii="仿宋_GB2312" w:eastAsia="仿宋_GB2312" w:cs="仿宋_GB2312"/>
          <w:b/>
          <w:bCs w:val="0"/>
          <w:kern w:val="0"/>
          <w:sz w:val="32"/>
          <w:szCs w:val="32"/>
          <w:lang w:eastAsia="zh-CN"/>
        </w:rPr>
        <w:t>。</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692.79</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599.41</w:t>
      </w:r>
      <w:r>
        <w:rPr>
          <w:rFonts w:hint="eastAsia" w:ascii="仿宋_GB2312" w:eastAsia="仿宋_GB2312" w:cs="仿宋_GB2312"/>
          <w:b w:val="0"/>
          <w:bCs/>
          <w:kern w:val="0"/>
          <w:sz w:val="32"/>
          <w:szCs w:val="32"/>
        </w:rPr>
        <w:t>万元，主要包括：基本工资、奖金、绩效工资、机关事业单位基本养老保险缴费、职业年金缴费、其他社会保障缴费、其他工资福利支出、离休费、退休费、医疗费、奖励金、住房公积金</w:t>
      </w:r>
      <w:r>
        <w:rPr>
          <w:rFonts w:hint="eastAsia" w:ascii="仿宋_GB2312" w:eastAsia="仿宋_GB2312" w:cs="仿宋_GB2312"/>
          <w:b w:val="0"/>
          <w:bCs/>
          <w:kern w:val="0"/>
          <w:sz w:val="32"/>
          <w:szCs w:val="32"/>
          <w:lang w:eastAsia="zh-CN"/>
        </w:rPr>
        <w:t>等。</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93.38</w:t>
      </w:r>
      <w:r>
        <w:rPr>
          <w:rFonts w:hint="eastAsia" w:ascii="仿宋_GB2312" w:eastAsia="仿宋_GB2312" w:cs="仿宋_GB2312"/>
          <w:b w:val="0"/>
          <w:bCs/>
          <w:kern w:val="0"/>
          <w:sz w:val="32"/>
          <w:szCs w:val="32"/>
        </w:rPr>
        <w:t>万元，主要包括：办公费、印刷费、手续费、水费、电费、邮电费、差旅费、维修（护）费、租赁费、会议费、培训费、公务接待费、工会经费、福利费、公务用车运行维护费、其他交通费用、其他商品和服务支出</w:t>
      </w:r>
      <w:r>
        <w:rPr>
          <w:rFonts w:hint="eastAsia" w:ascii="仿宋_GB2312" w:eastAsia="仿宋_GB2312" w:cs="仿宋_GB2312"/>
          <w:b w:val="0"/>
          <w:bCs/>
          <w:kern w:val="0"/>
          <w:sz w:val="32"/>
          <w:szCs w:val="32"/>
          <w:lang w:eastAsia="zh-CN"/>
        </w:rPr>
        <w:t>等。</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bCs w:val="0"/>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年度一般公共预算财政拨款“三公”经费支出决算情况</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 </w:t>
      </w:r>
      <w:r>
        <w:rPr>
          <w:rFonts w:hint="eastAsia" w:ascii="仿宋_GB2312" w:eastAsia="仿宋_GB2312" w:cs="仿宋_GB2312"/>
          <w:bCs/>
          <w:kern w:val="0"/>
          <w:sz w:val="32"/>
          <w:szCs w:val="32"/>
          <w:lang w:val="en-US" w:eastAsia="zh-CN"/>
        </w:rPr>
        <w:t>29.13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26.44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90.76</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1.83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91.5</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12.61</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83.34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3.15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10.65</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1.53</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45.53</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0.88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下降</w:t>
      </w:r>
      <w:r>
        <w:rPr>
          <w:rFonts w:hint="eastAsia" w:ascii="仿宋_GB2312" w:eastAsia="仿宋_GB2312" w:cs="仿宋_GB2312"/>
          <w:bCs/>
          <w:kern w:val="0"/>
          <w:sz w:val="32"/>
          <w:szCs w:val="32"/>
          <w:lang w:val="en-US" w:eastAsia="zh-CN"/>
        </w:rPr>
        <w:t>6.20</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eastAsia="zh-CN"/>
        </w:rPr>
        <w:t>与上年持平；公</w:t>
      </w:r>
      <w:r>
        <w:rPr>
          <w:rFonts w:hint="eastAsia" w:ascii="仿宋_GB2312" w:eastAsia="仿宋_GB2312" w:cs="仿宋_GB2312"/>
          <w:bCs/>
          <w:kern w:val="0"/>
          <w:sz w:val="32"/>
          <w:szCs w:val="32"/>
        </w:rPr>
        <w:t>务用车购置及运行费支出减少的主要原因是</w:t>
      </w:r>
      <w:r>
        <w:rPr>
          <w:rFonts w:hint="eastAsia" w:ascii="仿宋_GB2312" w:eastAsia="仿宋_GB2312" w:cs="仿宋_GB2312"/>
          <w:bCs/>
          <w:kern w:val="0"/>
          <w:sz w:val="32"/>
          <w:szCs w:val="32"/>
          <w:lang w:eastAsia="zh-CN"/>
        </w:rPr>
        <w:t>另有一辆在用公车经费未纳入我部预算</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严格按标准接待，厉行节约</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45.39</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1.83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6.92</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12.61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47.69</w:t>
      </w:r>
      <w:r>
        <w:rPr>
          <w:rFonts w:hint="eastAsia" w:ascii="仿宋_GB2312" w:eastAsia="仿宋_GB2312" w:cs="仿宋_GB2312"/>
          <w:bCs/>
          <w:kern w:val="0"/>
          <w:sz w:val="32"/>
          <w:szCs w:val="32"/>
        </w:rPr>
        <w:t xml:space="preserve"> %。具体情况如下：  </w:t>
      </w:r>
    </w:p>
    <w:p>
      <w:pPr>
        <w:autoSpaceDE w:val="0"/>
        <w:autoSpaceDN w:val="0"/>
        <w:adjustRightInd w:val="0"/>
        <w:spacing w:line="560" w:lineRule="exact"/>
        <w:ind w:firstLine="0" w:firstLineChars="0"/>
        <w:jc w:val="left"/>
        <w:rPr>
          <w:rFonts w:hint="eastAsia" w:ascii="仿宋_GB2312" w:eastAsia="仿宋_GB2312" w:cs="仿宋_GB2312"/>
          <w:bCs/>
          <w:color w:val="auto"/>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万元。全年安排机关和所属单位因公出国（境）团组</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16</w:t>
      </w:r>
      <w:r>
        <w:rPr>
          <w:rFonts w:hint="eastAsia" w:ascii="仿宋_GB2312" w:eastAsia="仿宋_GB2312" w:cs="仿宋_GB2312"/>
          <w:bCs/>
          <w:kern w:val="0"/>
          <w:sz w:val="32"/>
          <w:szCs w:val="32"/>
        </w:rPr>
        <w:t>人次。开支内容</w:t>
      </w:r>
      <w:r>
        <w:rPr>
          <w:rFonts w:hint="eastAsia" w:ascii="仿宋_GB2312" w:eastAsia="仿宋_GB2312" w:cs="仿宋_GB2312"/>
          <w:bCs/>
          <w:kern w:val="0"/>
          <w:sz w:val="32"/>
          <w:szCs w:val="32"/>
          <w:lang w:eastAsia="zh-CN"/>
        </w:rPr>
        <w:t>为</w:t>
      </w:r>
      <w:r>
        <w:rPr>
          <w:rFonts w:hint="eastAsia" w:ascii="仿宋_GB2312" w:eastAsia="仿宋_GB2312" w:cs="仿宋_GB2312"/>
          <w:bCs/>
          <w:color w:val="auto"/>
          <w:kern w:val="0"/>
          <w:sz w:val="32"/>
          <w:szCs w:val="32"/>
          <w:lang w:eastAsia="zh-CN"/>
        </w:rPr>
        <w:t>专项支出。</w:t>
      </w:r>
      <w:r>
        <w:rPr>
          <w:rFonts w:hint="eastAsia" w:ascii="仿宋_GB2312" w:eastAsia="仿宋_GB2312" w:cs="仿宋_GB2312"/>
          <w:bCs/>
          <w:color w:val="auto"/>
          <w:kern w:val="0"/>
          <w:sz w:val="32"/>
          <w:szCs w:val="32"/>
        </w:rPr>
        <w:t xml:space="preserve">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1.83</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1.83</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公车加油、维修、购买保险等支出。201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辆。</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12.61</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11.41</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港澳、海外工作联谊交流</w:t>
      </w:r>
      <w:r>
        <w:rPr>
          <w:rFonts w:hint="eastAsia" w:ascii="仿宋_GB2312" w:eastAsia="仿宋_GB2312" w:cs="仿宋_GB2312"/>
          <w:bCs/>
          <w:kern w:val="0"/>
          <w:sz w:val="32"/>
          <w:szCs w:val="32"/>
        </w:rPr>
        <w:t>工作发生的外宾接待支出。</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年共接待国（境）外来访团组</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500</w:t>
      </w:r>
      <w:r>
        <w:rPr>
          <w:rFonts w:hint="eastAsia" w:ascii="仿宋_GB2312" w:eastAsia="仿宋_GB2312" w:cs="仿宋_GB2312"/>
          <w:bCs/>
          <w:kern w:val="0"/>
          <w:sz w:val="32"/>
          <w:szCs w:val="32"/>
        </w:rPr>
        <w:t>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上级及其他地市来访</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年共接待国内来访团组</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98</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ind w:firstLine="640" w:firstLineChars="200"/>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bCs w:val="0"/>
          <w:kern w:val="0"/>
          <w:sz w:val="32"/>
          <w:szCs w:val="32"/>
          <w:lang w:eastAsia="zh-CN"/>
        </w:rPr>
        <w:t>八、201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w:t>
      </w:r>
      <w:r>
        <w:rPr>
          <w:rFonts w:hint="eastAsia" w:ascii="仿宋_GB2312" w:eastAsia="仿宋_GB2312" w:cs="仿宋_GB2312"/>
          <w:b/>
          <w:bCs w:val="0"/>
          <w:kern w:val="0"/>
          <w:sz w:val="32"/>
          <w:szCs w:val="32"/>
          <w:lang w:eastAsia="zh-CN"/>
        </w:rPr>
        <w:t>。</w:t>
      </w:r>
    </w:p>
    <w:p>
      <w:pPr>
        <w:ind w:firstLine="640" w:firstLineChars="200"/>
        <w:rPr>
          <w:rFonts w:hint="eastAsia" w:ascii="仿宋_GB2312" w:eastAsia="仿宋_GB2312" w:cs="仿宋_GB2312"/>
          <w:bCs/>
          <w:kern w:val="0"/>
          <w:sz w:val="32"/>
          <w:szCs w:val="32"/>
          <w:lang w:eastAsia="zh-CN"/>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s="仿宋_GB2312"/>
          <w:bCs/>
          <w:kern w:val="0"/>
          <w:sz w:val="32"/>
          <w:szCs w:val="32"/>
          <w:lang w:val="en-US" w:eastAsia="zh-CN"/>
        </w:rPr>
        <w:t>2019年统战部</w:t>
      </w:r>
      <w:r>
        <w:rPr>
          <w:rFonts w:hint="eastAsia" w:ascii="仿宋_GB2312" w:eastAsia="仿宋_GB2312" w:cs="仿宋_GB2312"/>
          <w:bCs/>
          <w:kern w:val="0"/>
          <w:sz w:val="32"/>
          <w:szCs w:val="32"/>
        </w:rPr>
        <w:t>没有政府性基金预算财政拨款收入，也没有政府性基金预算财政拨款安排的支出</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年度预算绩效情况说明</w:t>
      </w:r>
    </w:p>
    <w:p>
      <w:pPr>
        <w:numPr>
          <w:ilvl w:val="0"/>
          <w:numId w:val="2"/>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根据财政预算管理要求，我部门组织对201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年度一般公共预算整体支出全面开展绩效自评。涉及预算资金</w:t>
      </w:r>
      <w:r>
        <w:rPr>
          <w:rFonts w:hint="eastAsia" w:ascii="仿宋_GB2312" w:eastAsia="仿宋_GB2312" w:cs="仿宋_GB2312"/>
          <w:bCs/>
          <w:kern w:val="0"/>
          <w:sz w:val="32"/>
          <w:szCs w:val="32"/>
          <w:lang w:val="en-US" w:eastAsia="zh-CN"/>
        </w:rPr>
        <w:t>975.53</w:t>
      </w:r>
      <w:r>
        <w:rPr>
          <w:rFonts w:hint="eastAsia" w:ascii="仿宋_GB2312" w:eastAsia="仿宋_GB2312" w:cs="仿宋_GB2312"/>
          <w:bCs/>
          <w:kern w:val="0"/>
          <w:sz w:val="32"/>
          <w:szCs w:val="32"/>
        </w:rPr>
        <w:t xml:space="preserve">万元，自评覆盖率达到100%。 </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部门决算中整体绩效自评结果为优。</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93.38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17.43</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22.95</w:t>
      </w:r>
      <w:r>
        <w:rPr>
          <w:rFonts w:hint="eastAsia" w:ascii="仿宋_GB2312" w:eastAsia="仿宋_GB2312" w:cs="仿宋_GB2312"/>
          <w:kern w:val="0"/>
          <w:sz w:val="32"/>
          <w:szCs w:val="32"/>
        </w:rPr>
        <w:t>%，增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机构改革市侨办行政经费划归我部</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20.24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其中：货物支出</w:t>
      </w:r>
      <w:r>
        <w:rPr>
          <w:rFonts w:hint="eastAsia" w:ascii="仿宋_GB2312" w:eastAsia="仿宋_GB2312" w:cs="仿宋_GB2312"/>
          <w:kern w:val="0"/>
          <w:sz w:val="32"/>
          <w:szCs w:val="32"/>
          <w:lang w:val="en-US" w:eastAsia="zh-CN"/>
        </w:rPr>
        <w:t>10.21</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10.03</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eastAsia="zh-CN"/>
        </w:rPr>
        <w:t>没有，</w:t>
      </w:r>
      <w:r>
        <w:rPr>
          <w:rFonts w:hint="eastAsia" w:ascii="仿宋_GB2312" w:eastAsia="仿宋_GB2312" w:cs="仿宋_GB2312"/>
          <w:kern w:val="0"/>
          <w:sz w:val="32"/>
          <w:szCs w:val="32"/>
        </w:rPr>
        <w:t>单价100万元以上专用设备</w:t>
      </w:r>
      <w:r>
        <w:rPr>
          <w:rFonts w:hint="eastAsia" w:ascii="仿宋_GB2312" w:eastAsia="仿宋_GB2312" w:cs="仿宋_GB2312"/>
          <w:kern w:val="0"/>
          <w:sz w:val="32"/>
          <w:szCs w:val="32"/>
          <w:lang w:eastAsia="zh-CN"/>
        </w:rPr>
        <w:t>没有</w:t>
      </w:r>
      <w:r>
        <w:rPr>
          <w:rFonts w:hint="eastAsia" w:ascii="仿宋_GB2312" w:eastAsia="仿宋_GB2312" w:cs="仿宋_GB2312"/>
          <w:kern w:val="0"/>
          <w:sz w:val="32"/>
          <w:szCs w:val="32"/>
        </w:rPr>
        <w:t xml:space="preserve">。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
    <w:p/>
    <w:p>
      <w:pPr>
        <w:numPr>
          <w:ilvl w:val="0"/>
          <w:numId w:val="0"/>
        </w:numPr>
        <w:ind w:firstLine="5440" w:firstLineChars="17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中共柳州市委统战部</w:t>
      </w:r>
    </w:p>
    <w:p>
      <w:pPr>
        <w:numPr>
          <w:ilvl w:val="0"/>
          <w:numId w:val="0"/>
        </w:numPr>
        <w:ind w:firstLine="5760" w:firstLineChars="1800"/>
        <w:rPr>
          <w:rFonts w:hint="eastAsia" w:ascii="仿宋_GB2312" w:eastAsia="仿宋_GB2312"/>
          <w:b w:val="0"/>
          <w:bCs/>
          <w:sz w:val="32"/>
          <w:szCs w:val="32"/>
          <w:lang w:val="en-US" w:eastAsia="zh-CN"/>
        </w:rPr>
        <w:sectPr>
          <w:headerReference r:id="rId11" w:type="default"/>
          <w:footerReference r:id="rId12" w:type="default"/>
          <w:footerReference r:id="rId13" w:type="even"/>
          <w:pgSz w:w="11906" w:h="16838"/>
          <w:pgMar w:top="1440" w:right="1797" w:bottom="1440" w:left="1377" w:header="851" w:footer="992" w:gutter="0"/>
          <w:pgNumType w:fmt="numberInDash"/>
          <w:cols w:space="720" w:num="1"/>
          <w:docGrid w:type="lines" w:linePitch="312" w:charSpace="0"/>
        </w:sectPr>
      </w:pPr>
      <w:r>
        <w:rPr>
          <w:rFonts w:hint="eastAsia" w:ascii="仿宋_GB2312" w:eastAsia="仿宋_GB2312"/>
          <w:b w:val="0"/>
          <w:bCs/>
          <w:sz w:val="32"/>
          <w:szCs w:val="32"/>
          <w:lang w:val="en-US" w:eastAsia="zh-CN"/>
        </w:rPr>
        <w:t>2020年8月11日</w:t>
      </w:r>
    </w:p>
    <w:p>
      <w:pPr>
        <w:spacing w:line="560" w:lineRule="exact"/>
        <w:rPr>
          <w:rFonts w:hint="eastAsia" w:ascii="仿宋_GB2312" w:eastAsia="仿宋_GB2312"/>
          <w:b/>
          <w:sz w:val="32"/>
          <w:szCs w:val="32"/>
        </w:rPr>
        <w:sectPr>
          <w:pgSz w:w="11906" w:h="16838"/>
          <w:pgMar w:top="1440" w:right="1797" w:bottom="1440" w:left="1797" w:header="851" w:footer="992" w:gutter="0"/>
          <w:pgNumType w:fmt="numberInDash"/>
          <w:cols w:space="720" w:num="1"/>
          <w:docGrid w:type="lines" w:linePitch="312" w:charSpace="0"/>
        </w:sect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- 19 -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51A7"/>
    <w:multiLevelType w:val="singleLevel"/>
    <w:tmpl w:val="AD6651A7"/>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1108BE"/>
    <w:rsid w:val="050E6371"/>
    <w:rsid w:val="0BEA5FC0"/>
    <w:rsid w:val="13963163"/>
    <w:rsid w:val="15C85B4A"/>
    <w:rsid w:val="208305B2"/>
    <w:rsid w:val="246778C0"/>
    <w:rsid w:val="26460DBA"/>
    <w:rsid w:val="28A543D3"/>
    <w:rsid w:val="2A041009"/>
    <w:rsid w:val="2C3D511E"/>
    <w:rsid w:val="2C4219FE"/>
    <w:rsid w:val="2F53368D"/>
    <w:rsid w:val="2F997907"/>
    <w:rsid w:val="30F8175F"/>
    <w:rsid w:val="39A63F06"/>
    <w:rsid w:val="3ED1439F"/>
    <w:rsid w:val="40415555"/>
    <w:rsid w:val="413A26ED"/>
    <w:rsid w:val="42CE3C74"/>
    <w:rsid w:val="433658CD"/>
    <w:rsid w:val="49B949A1"/>
    <w:rsid w:val="4C256E3D"/>
    <w:rsid w:val="4CB52F0F"/>
    <w:rsid w:val="532F1F9A"/>
    <w:rsid w:val="5719526B"/>
    <w:rsid w:val="62163194"/>
    <w:rsid w:val="661E0C42"/>
    <w:rsid w:val="6B597BD6"/>
    <w:rsid w:val="6B7244E2"/>
    <w:rsid w:val="6C6C6D59"/>
    <w:rsid w:val="6E5413D6"/>
    <w:rsid w:val="708A14A6"/>
    <w:rsid w:val="75FC5F56"/>
    <w:rsid w:val="7BAC3E95"/>
    <w:rsid w:val="7E2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陈雪玲</cp:lastModifiedBy>
  <dcterms:modified xsi:type="dcterms:W3CDTF">2020-09-09T09:15:15Z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